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717FC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598005A"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MINISTÉRIO DO DESENVOLVIMENTO, INDÚSTRIA, COMÉRCIO E SERVIÇOS</w:t>
      </w:r>
    </w:p>
    <w:p w14:paraId="43526ED0"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SECRETARIA DE COMÉRCIO EXTERIOR</w:t>
      </w:r>
    </w:p>
    <w:p w14:paraId="3F0FD8D2" w14:textId="4C71ED8A" w:rsidR="00E96EFC" w:rsidRPr="008C6478"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DEPARTAMENTO DE DEFESA COMERCIAL</w:t>
      </w:r>
      <w:r w:rsidR="00E96EFC" w:rsidRPr="008C6478">
        <w:rPr>
          <w:rFonts w:asciiTheme="minorHAnsi" w:hAnsiTheme="minorHAnsi" w:cstheme="minorHAnsi"/>
          <w:b/>
          <w:sz w:val="22"/>
          <w:szCs w:val="22"/>
        </w:rPr>
        <w:t xml:space="preserve"> </w:t>
      </w:r>
    </w:p>
    <w:p w14:paraId="190D73DB" w14:textId="77777777" w:rsidR="00381313"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9525EEA"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0C435C6C"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BC287A8" w14:textId="77777777" w:rsidR="00191926" w:rsidRPr="008C6478"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8C6478">
        <w:rPr>
          <w:rFonts w:asciiTheme="minorHAnsi" w:hAnsiTheme="minorHAnsi" w:cstheme="minorHAnsi"/>
          <w:b/>
          <w:sz w:val="32"/>
          <w:szCs w:val="32"/>
        </w:rPr>
        <w:t xml:space="preserve">QUESTIONÁRIO </w:t>
      </w:r>
      <w:r w:rsidR="00347B69" w:rsidRPr="008C647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5306B070" w14:textId="61FAE714" w:rsidR="00381313" w:rsidRPr="008C6478" w:rsidRDefault="002A1965"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6A3559">
        <w:rPr>
          <w:rFonts w:asciiTheme="minorHAnsi" w:hAnsiTheme="minorHAnsi" w:cstheme="minorHAnsi"/>
          <w:sz w:val="24"/>
          <w:szCs w:val="24"/>
        </w:rPr>
        <w:t>Revisão de final de período da medida antidumping aplicada sobre as importações brasileiras de Pirofosfato Ácido de Sódio (SAPP), comumente classificadas no subitem 2835.39.20 da Nomenclatura Comum do Mercosul – NCM, originárias do Canadá, República Popular da China e Estados Unidos da América</w:t>
      </w:r>
      <w:r w:rsidR="0014124E">
        <w:rPr>
          <w:rFonts w:asciiTheme="minorHAnsi" w:hAnsiTheme="minorHAnsi" w:cstheme="minorHAnsi"/>
          <w:sz w:val="24"/>
          <w:szCs w:val="24"/>
        </w:rPr>
        <w:t>.</w:t>
      </w:r>
    </w:p>
    <w:p w14:paraId="42AB922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B12B75C"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2297D5" w14:textId="05725023" w:rsidR="008C6478" w:rsidRPr="00F618F2" w:rsidRDefault="00CA4A02"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508459"/>
      <w:r w:rsidRPr="006A3559">
        <w:rPr>
          <w:rFonts w:asciiTheme="minorHAnsi" w:hAnsiTheme="minorHAnsi" w:cstheme="minorHAnsi"/>
          <w:sz w:val="24"/>
          <w:szCs w:val="24"/>
        </w:rPr>
        <w:t>Processos SEI n</w:t>
      </w:r>
      <w:r w:rsidRPr="006A3559">
        <w:rPr>
          <w:rFonts w:asciiTheme="minorHAnsi" w:hAnsiTheme="minorHAnsi" w:cstheme="minorHAnsi"/>
          <w:sz w:val="24"/>
          <w:szCs w:val="24"/>
          <w:u w:val="single"/>
          <w:vertAlign w:val="superscript"/>
        </w:rPr>
        <w:t>os</w:t>
      </w:r>
      <w:r w:rsidRPr="006A3559">
        <w:rPr>
          <w:rFonts w:asciiTheme="minorHAnsi" w:hAnsiTheme="minorHAnsi" w:cstheme="minorHAnsi"/>
          <w:sz w:val="24"/>
          <w:szCs w:val="24"/>
        </w:rPr>
        <w:t xml:space="preserve"> 19972.000299/2025-08 restrito e 19972.000300/2025-96 confidencial</w:t>
      </w:r>
      <w:bookmarkEnd w:id="0"/>
    </w:p>
    <w:p w14:paraId="36EEC6FD" w14:textId="051BA1F2" w:rsidR="00381313" w:rsidRPr="00F618F2" w:rsidRDefault="0027748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6A3559">
        <w:rPr>
          <w:rFonts w:asciiTheme="minorHAnsi" w:hAnsiTheme="minorHAnsi" w:cstheme="minorHAnsi"/>
          <w:sz w:val="24"/>
          <w:szCs w:val="24"/>
        </w:rPr>
        <w:t xml:space="preserve">Contato: (+55 61) 2027-7770 ou </w:t>
      </w:r>
      <w:r w:rsidRPr="006A3559">
        <w:rPr>
          <w:rFonts w:asciiTheme="minorHAnsi" w:hAnsiTheme="minorHAnsi" w:cstheme="minorHAnsi"/>
          <w:bCs/>
          <w:sz w:val="24"/>
          <w:szCs w:val="24"/>
        </w:rPr>
        <w:t>sapp_rev@mdic.gov.br</w:t>
      </w:r>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1" w:name="_Toc340425356"/>
      <w:r w:rsidR="00AE3976" w:rsidRPr="008C6478">
        <w:rPr>
          <w:rFonts w:asciiTheme="minorHAnsi" w:hAnsiTheme="minorHAnsi" w:cstheme="minorHAnsi"/>
        </w:rPr>
        <w:lastRenderedPageBreak/>
        <w:t>INSTRUÇÕES GERAIS</w:t>
      </w:r>
      <w:bookmarkEnd w:id="1"/>
    </w:p>
    <w:p w14:paraId="681CEA90" w14:textId="77777777" w:rsidR="00AE3976" w:rsidRPr="008C6478" w:rsidRDefault="00AE3976" w:rsidP="00AE3976">
      <w:pPr>
        <w:jc w:val="both"/>
        <w:rPr>
          <w:rFonts w:asciiTheme="minorHAnsi" w:hAnsiTheme="minorHAnsi" w:cstheme="minorHAnsi"/>
          <w:sz w:val="24"/>
        </w:rPr>
      </w:pPr>
    </w:p>
    <w:p w14:paraId="385F9282" w14:textId="54933070" w:rsidR="00205634" w:rsidRPr="008C6478" w:rsidRDefault="002073E2" w:rsidP="007E4B19">
      <w:pPr>
        <w:numPr>
          <w:ilvl w:val="0"/>
          <w:numId w:val="37"/>
        </w:numPr>
        <w:snapToGrid w:val="0"/>
        <w:ind w:left="0" w:right="-199" w:firstLine="0"/>
        <w:jc w:val="both"/>
        <w:rPr>
          <w:rFonts w:asciiTheme="minorHAnsi" w:hAnsiTheme="minorHAnsi" w:cstheme="minorHAnsi"/>
          <w:sz w:val="24"/>
          <w:szCs w:val="24"/>
        </w:rPr>
      </w:pPr>
      <w:r w:rsidRPr="006A3559">
        <w:rPr>
          <w:rFonts w:asciiTheme="minorHAnsi" w:hAnsiTheme="minorHAnsi" w:cstheme="minorHAnsi"/>
          <w:sz w:val="24"/>
          <w:szCs w:val="24"/>
        </w:rPr>
        <w:t>Este questionário tem por objetivo reunir informações necessárias à revisão de final de período da medida antidumping aplicada sobre as importações brasileiras de Pirofosfato Ácido de Sódio (SAPP), comumente classificadas no subitem 2835.39.20 da Nomenclatura Comum do Mercosul – NCM, originárias do Canadá, República Popular da China (China) e Estados Unidos da América (EUA), e de dano à indústria doméstica decorrente de tal prática</w:t>
      </w:r>
      <w:r>
        <w:rPr>
          <w:rFonts w:asciiTheme="minorHAnsi" w:hAnsiTheme="minorHAnsi" w:cstheme="minorHAnsi"/>
          <w:sz w:val="24"/>
          <w:szCs w:val="24"/>
        </w:rPr>
        <w:t>.</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279229BB"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2F0A7C">
        <w:rPr>
          <w:rFonts w:asciiTheme="minorHAnsi" w:hAnsiTheme="minorHAnsi" w:cstheme="minorHAnsi"/>
          <w:sz w:val="24"/>
          <w:szCs w:val="24"/>
        </w:rPr>
        <w:t>ao DECOM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0D2C95A8" w:rsidR="00AE3976" w:rsidRDefault="002F0A7C"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r w:rsidR="00191926">
        <w:rPr>
          <w:rFonts w:asciiTheme="minorHAnsi" w:hAnsiTheme="minorHAnsi" w:cstheme="minorHAnsi"/>
          <w:sz w:val="24"/>
          <w:szCs w:val="24"/>
        </w:rPr>
        <w:t xml:space="preserve"> </w:t>
      </w:r>
      <w:r w:rsidR="00191926"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191926">
        <w:rPr>
          <w:rFonts w:asciiTheme="minorHAnsi" w:hAnsiTheme="minorHAnsi" w:cstheme="minorHAnsi"/>
          <w:sz w:val="24"/>
          <w:szCs w:val="24"/>
        </w:rPr>
        <w:t>.</w:t>
      </w:r>
    </w:p>
    <w:p w14:paraId="7386E0F0" w14:textId="77777777" w:rsidR="00191926" w:rsidRDefault="00191926" w:rsidP="00191926">
      <w:pPr>
        <w:pStyle w:val="PargrafodaLista"/>
        <w:jc w:val="right"/>
        <w:rPr>
          <w:rFonts w:asciiTheme="minorHAnsi" w:hAnsiTheme="minorHAnsi" w:cstheme="minorHAnsi"/>
          <w:sz w:val="24"/>
          <w:szCs w:val="24"/>
        </w:rPr>
      </w:pPr>
    </w:p>
    <w:p w14:paraId="06EAA9F5" w14:textId="01B389B0" w:rsidR="00191926" w:rsidRPr="008C6478" w:rsidRDefault="00191926"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w:t>
      </w:r>
      <w:r w:rsidRPr="008C6478">
        <w:rPr>
          <w:rFonts w:asciiTheme="minorHAnsi" w:hAnsiTheme="minorHAnsi" w:cstheme="minorHAnsi"/>
          <w:sz w:val="24"/>
          <w:szCs w:val="24"/>
        </w:rPr>
        <w:lastRenderedPageBreak/>
        <w:t xml:space="preserve">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7911CAF2" w:rsidR="00FA2781" w:rsidRPr="00AE4245" w:rsidRDefault="00AE4245"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2" w:name="_Hlk80275877"/>
      <w:bookmarkStart w:id="3" w:name="_Hlk80274858"/>
      <w:r w:rsidRPr="00AE4245">
        <w:rPr>
          <w:rFonts w:asciiTheme="minorHAnsi" w:hAnsiTheme="minorHAnsi" w:cstheme="minorHAnsi"/>
          <w:color w:val="201F1E"/>
          <w:sz w:val="24"/>
          <w:szCs w:val="24"/>
        </w:rPr>
        <w:t>Nos termos da Portaria SECEX n</w:t>
      </w:r>
      <w:r w:rsidRPr="00AE4245">
        <w:rPr>
          <w:rFonts w:asciiTheme="minorHAnsi" w:hAnsiTheme="minorHAnsi" w:cstheme="minorHAnsi"/>
          <w:strike/>
          <w:color w:val="201F1E"/>
          <w:sz w:val="24"/>
          <w:szCs w:val="24"/>
        </w:rPr>
        <w:t>º</w:t>
      </w:r>
      <w:r w:rsidRPr="00AE4245">
        <w:rPr>
          <w:rFonts w:asciiTheme="minorHAnsi" w:hAnsiTheme="minorHAnsi" w:cstheme="minorHAnsi"/>
          <w:color w:val="201F1E"/>
          <w:sz w:val="24"/>
          <w:szCs w:val="24"/>
        </w:rPr>
        <w:t> </w:t>
      </w:r>
      <w:r w:rsidR="00A43951">
        <w:rPr>
          <w:rFonts w:asciiTheme="minorHAnsi" w:hAnsiTheme="minorHAnsi" w:cstheme="minorHAnsi"/>
          <w:color w:val="201F1E"/>
          <w:sz w:val="24"/>
          <w:szCs w:val="24"/>
        </w:rPr>
        <w:t>162</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06</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janeiro</w:t>
      </w:r>
      <w:r w:rsidRPr="00AE4245">
        <w:rPr>
          <w:rFonts w:asciiTheme="minorHAnsi" w:hAnsiTheme="minorHAnsi" w:cstheme="minorHAnsi"/>
          <w:color w:val="201F1E"/>
          <w:sz w:val="24"/>
          <w:szCs w:val="24"/>
        </w:rPr>
        <w:t xml:space="preserve"> de 202</w:t>
      </w:r>
      <w:r w:rsidR="00A43951">
        <w:rPr>
          <w:rFonts w:asciiTheme="minorHAnsi" w:hAnsiTheme="minorHAnsi" w:cstheme="minorHAnsi"/>
          <w:color w:val="201F1E"/>
          <w:sz w:val="24"/>
          <w:szCs w:val="24"/>
        </w:rPr>
        <w:t>2</w:t>
      </w:r>
      <w:r w:rsidRPr="00AE424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AE4245">
        <w:rPr>
          <w:rFonts w:asciiTheme="minorHAnsi" w:hAnsiTheme="minorHAnsi" w:cstheme="minorHAnsi"/>
          <w:color w:val="201F1E"/>
          <w:sz w:val="24"/>
          <w:szCs w:val="24"/>
          <w:u w:val="single"/>
          <w:vertAlign w:val="superscript"/>
        </w:rPr>
        <w:t>os</w:t>
      </w:r>
      <w:r w:rsidRPr="00AE4245">
        <w:rPr>
          <w:rFonts w:asciiTheme="minorHAnsi" w:hAnsiTheme="minorHAnsi" w:cstheme="minorHAnsi"/>
          <w:color w:val="201F1E"/>
          <w:sz w:val="24"/>
          <w:szCs w:val="24"/>
        </w:rPr>
        <w:t xml:space="preserve"> </w:t>
      </w:r>
      <w:r w:rsidR="009838F8" w:rsidRPr="006A3559">
        <w:rPr>
          <w:rFonts w:asciiTheme="minorHAnsi" w:hAnsiTheme="minorHAnsi" w:cstheme="minorHAnsi"/>
          <w:sz w:val="24"/>
          <w:szCs w:val="24"/>
        </w:rPr>
        <w:t>19972.000299/2025-08 restrito e 19972.000300/2025-96</w:t>
      </w:r>
      <w:r w:rsidRPr="00AE4245">
        <w:rPr>
          <w:rFonts w:asciiTheme="minorHAnsi" w:hAnsiTheme="minorHAnsi" w:cstheme="minorHAnsi"/>
          <w:color w:val="FF0000"/>
          <w:sz w:val="24"/>
          <w:szCs w:val="24"/>
        </w:rPr>
        <w:t xml:space="preserve"> </w:t>
      </w:r>
      <w:r w:rsidRPr="00AE4245">
        <w:rPr>
          <w:rFonts w:asciiTheme="minorHAnsi" w:hAnsiTheme="minorHAnsi" w:cstheme="minorHAnsi"/>
          <w:color w:val="201F1E"/>
          <w:sz w:val="24"/>
          <w:szCs w:val="24"/>
        </w:rPr>
        <w:t xml:space="preserve">confidencial no Sistema Eletrônico de Informações - SEI, disponível </w:t>
      </w:r>
      <w:r w:rsidR="00675E82">
        <w:rPr>
          <w:rFonts w:asciiTheme="minorHAnsi" w:hAnsiTheme="minorHAnsi" w:cstheme="minorHAnsi"/>
          <w:color w:val="201F1E"/>
          <w:sz w:val="24"/>
          <w:szCs w:val="24"/>
        </w:rPr>
        <w:t xml:space="preserve">em </w:t>
      </w:r>
      <w:hyperlink r:id="rId12" w:history="1">
        <w:r w:rsidR="00675E82" w:rsidRPr="00483DCF">
          <w:rPr>
            <w:rStyle w:val="Hyperlink"/>
            <w:rFonts w:asciiTheme="minorHAnsi" w:hAnsiTheme="minorHAnsi" w:cstheme="minorHAnsi"/>
            <w:sz w:val="24"/>
            <w:szCs w:val="24"/>
          </w:rPr>
          <w:t>https://colaboragov.sei.gov.br/sei/controlador_externo.php?acao=usuario_externo_logar&amp;id_orgao_acesso_externo=7</w:t>
        </w:r>
      </w:hyperlink>
      <w:r w:rsidR="00675E82">
        <w:rPr>
          <w:rFonts w:asciiTheme="minorHAnsi" w:hAnsiTheme="minorHAnsi" w:cstheme="minorHAnsi"/>
          <w:color w:val="201F1E"/>
          <w:sz w:val="24"/>
          <w:szCs w:val="24"/>
        </w:rPr>
        <w:t xml:space="preserve"> </w:t>
      </w:r>
      <w:r w:rsidR="005C6B0F">
        <w:rPr>
          <w:rFonts w:asciiTheme="minorHAnsi" w:hAnsiTheme="minorHAnsi" w:cstheme="minorHAnsi"/>
          <w:color w:val="201F1E"/>
          <w:sz w:val="24"/>
          <w:szCs w:val="24"/>
        </w:rPr>
        <w:t xml:space="preserve"> </w:t>
      </w:r>
      <w:r w:rsidRPr="00AE4245">
        <w:rPr>
          <w:rFonts w:asciiTheme="minorHAnsi" w:hAnsiTheme="minorHAnsi" w:cstheme="minorHAnsi"/>
          <w:color w:val="201F1E"/>
          <w:sz w:val="24"/>
          <w:szCs w:val="24"/>
        </w:rPr>
        <w:t>  </w:t>
      </w:r>
      <w:r w:rsidR="008C6478" w:rsidRPr="00AE4245">
        <w:rPr>
          <w:rFonts w:asciiTheme="minorHAnsi" w:hAnsiTheme="minorHAnsi" w:cstheme="minorHAnsi"/>
          <w:sz w:val="24"/>
          <w:szCs w:val="24"/>
        </w:rPr>
        <w:t>.</w:t>
      </w:r>
      <w:bookmarkEnd w:id="2"/>
      <w:r w:rsidR="008C6478" w:rsidRPr="00AE4245">
        <w:rPr>
          <w:rFonts w:asciiTheme="minorHAnsi" w:hAnsiTheme="minorHAnsi" w:cstheme="minorHAnsi"/>
          <w:sz w:val="24"/>
          <w:szCs w:val="24"/>
        </w:rPr>
        <w:t xml:space="preserve"> </w:t>
      </w:r>
      <w:bookmarkEnd w:id="3"/>
      <w:r w:rsidR="00FA2781" w:rsidRPr="00AE4245">
        <w:rPr>
          <w:rFonts w:asciiTheme="minorHAnsi" w:hAnsiTheme="minorHAnsi" w:cstheme="minorHAns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8C6478">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285B7AD"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98"/>
      <w:bookmarkStart w:id="6" w:name="_Hlk80276022"/>
      <w:r w:rsidRPr="008C6478">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5"/>
      <w:bookmarkEnd w:id="6"/>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2662"/>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7DBC68BA"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80196227"/>
      <w:r w:rsidRPr="008C6478">
        <w:rPr>
          <w:rFonts w:asciiTheme="minorHAnsi" w:hAnsiTheme="minorHAnsi" w:cstheme="minorHAnsi"/>
          <w:sz w:val="24"/>
          <w:szCs w:val="24"/>
        </w:rPr>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bookmarkEnd w:id="7"/>
    <w:p w14:paraId="7BBC16D5" w14:textId="77777777" w:rsidR="008C6478" w:rsidRPr="008C6478" w:rsidRDefault="008C6478" w:rsidP="001A3BC3">
      <w:pPr>
        <w:pStyle w:val="PargrafodaLista"/>
        <w:rPr>
          <w:rFonts w:asciiTheme="minorHAnsi" w:hAnsiTheme="minorHAnsi" w:cstheme="minorHAnsi"/>
          <w:sz w:val="24"/>
          <w:szCs w:val="24"/>
        </w:rPr>
      </w:pPr>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9" w:name="_Toc340425357"/>
      <w:r w:rsidRPr="008C6478">
        <w:rPr>
          <w:rFonts w:asciiTheme="minorHAnsi" w:hAnsiTheme="minorHAnsi" w:cstheme="minorHAnsi"/>
        </w:rPr>
        <w:lastRenderedPageBreak/>
        <w:t>I - INFORMAÇÕES SOBRE A EMPRESA</w:t>
      </w:r>
      <w:bookmarkEnd w:id="9"/>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0" w:name="_Toc340425358"/>
      <w:r w:rsidRPr="008C6478">
        <w:rPr>
          <w:rFonts w:asciiTheme="minorHAnsi" w:hAnsiTheme="minorHAnsi" w:cstheme="minorHAnsi"/>
          <w:sz w:val="24"/>
          <w:szCs w:val="24"/>
        </w:rPr>
        <w:t>Dados gerais</w:t>
      </w:r>
      <w:bookmarkEnd w:id="10"/>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5C89F5A9"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2F0A7C">
        <w:rPr>
          <w:rFonts w:asciiTheme="minorHAnsi" w:hAnsiTheme="minorHAnsi" w:cstheme="minorHAnsi"/>
          <w:sz w:val="24"/>
          <w:szCs w:val="24"/>
        </w:rPr>
        <w:t>ao DECOM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1" w:name="_Toc340425360"/>
      <w:r w:rsidRPr="008C6478">
        <w:rPr>
          <w:rFonts w:asciiTheme="minorHAnsi" w:hAnsiTheme="minorHAnsi" w:cstheme="minorHAnsi"/>
          <w:sz w:val="24"/>
          <w:szCs w:val="24"/>
        </w:rPr>
        <w:t>Estrutura e Afiliações</w:t>
      </w:r>
      <w:bookmarkEnd w:id="11"/>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03DE881D"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00102935" w:rsidRPr="008C6478">
        <w:rPr>
          <w:rFonts w:asciiTheme="minorHAnsi" w:hAnsiTheme="minorHAnsi" w:cstheme="minorHAnsi"/>
          <w:bCs/>
          <w:sz w:val="24"/>
        </w:rPr>
        <w:t>Fornecer</w:t>
      </w:r>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Pr>
          <w:rFonts w:asciiTheme="minorHAnsi" w:hAnsiTheme="minorHAnsi" w:cstheme="minorHAnsi"/>
          <w:bCs/>
          <w:sz w:val="24"/>
        </w:rPr>
        <w:t>ao DECOM</w:t>
      </w:r>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se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se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se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se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se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Datasul, etc.)</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2"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2"/>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0ED7B637" w14:textId="17F60102" w:rsidR="00205634" w:rsidRPr="008C6478" w:rsidRDefault="00205634" w:rsidP="003F49F7">
      <w:pPr>
        <w:pStyle w:val="Recuodecorpodetexto"/>
        <w:numPr>
          <w:ilvl w:val="0"/>
          <w:numId w:val="45"/>
        </w:numPr>
        <w:ind w:right="-199" w:hanging="578"/>
        <w:jc w:val="left"/>
        <w:rPr>
          <w:rFonts w:asciiTheme="minorHAnsi" w:hAnsiTheme="minorHAnsi" w:cstheme="minorHAnsi"/>
          <w:b/>
          <w:bCs/>
          <w:sz w:val="24"/>
          <w:szCs w:val="24"/>
        </w:rPr>
      </w:pPr>
      <w:r w:rsidRPr="008C6478">
        <w:rPr>
          <w:rFonts w:asciiTheme="minorHAnsi" w:hAnsiTheme="minorHAnsi" w:cstheme="minorHAnsi"/>
          <w:b/>
          <w:bCs/>
          <w:sz w:val="24"/>
          <w:szCs w:val="24"/>
        </w:rPr>
        <w:t xml:space="preserve">Produto objeto da </w:t>
      </w:r>
      <w:r w:rsidR="00A12672" w:rsidRPr="008C6478">
        <w:rPr>
          <w:rFonts w:asciiTheme="minorHAnsi" w:hAnsiTheme="minorHAnsi" w:cstheme="minorHAnsi"/>
          <w:b/>
          <w:bCs/>
          <w:sz w:val="24"/>
          <w:szCs w:val="24"/>
        </w:rPr>
        <w:t>revisão</w:t>
      </w:r>
      <w:r w:rsidRPr="008C6478">
        <w:rPr>
          <w:rFonts w:asciiTheme="minorHAnsi" w:hAnsiTheme="minorHAnsi" w:cstheme="minorHAnsi"/>
          <w:b/>
          <w:bCs/>
          <w:sz w:val="24"/>
          <w:szCs w:val="24"/>
        </w:rPr>
        <w:t>:</w:t>
      </w:r>
    </w:p>
    <w:p w14:paraId="04760C9D"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p>
    <w:p w14:paraId="03EDF8FB" w14:textId="7CCF613D" w:rsidR="003F49F7" w:rsidRPr="006A3559" w:rsidRDefault="003F49F7" w:rsidP="003F49F7">
      <w:pPr>
        <w:ind w:firstLine="708"/>
        <w:jc w:val="both"/>
        <w:rPr>
          <w:rFonts w:asciiTheme="minorHAnsi" w:hAnsiTheme="minorHAnsi" w:cstheme="minorHAnsi"/>
          <w:sz w:val="24"/>
          <w:szCs w:val="24"/>
        </w:rPr>
      </w:pPr>
      <w:r w:rsidRPr="006A3559">
        <w:rPr>
          <w:rFonts w:asciiTheme="minorHAnsi" w:hAnsiTheme="minorHAnsi" w:cstheme="minorHAnsi"/>
          <w:b/>
          <w:sz w:val="24"/>
          <w:szCs w:val="24"/>
        </w:rPr>
        <w:t>Pirofosfato ácido de sódio (SAPP), de grau alimentício, comumente classificado no subitem 2835.39.20 da NCM</w:t>
      </w:r>
      <w:r w:rsidRPr="006A3559">
        <w:rPr>
          <w:rFonts w:asciiTheme="minorHAnsi" w:hAnsiTheme="minorHAnsi" w:cstheme="minorHAnsi"/>
          <w:sz w:val="24"/>
          <w:szCs w:val="24"/>
        </w:rPr>
        <w:t>, exportado do Canadá, China e EUA</w:t>
      </w:r>
      <w:r w:rsidRPr="006A3559">
        <w:rPr>
          <w:rFonts w:asciiTheme="minorHAnsi" w:hAnsiTheme="minorHAnsi" w:cstheme="minorHAnsi"/>
          <w:b/>
          <w:bCs/>
          <w:sz w:val="24"/>
        </w:rPr>
        <w:t xml:space="preserve"> </w:t>
      </w:r>
      <w:r w:rsidRPr="006A3559">
        <w:rPr>
          <w:rFonts w:asciiTheme="minorHAnsi" w:hAnsiTheme="minorHAnsi" w:cstheme="minorHAnsi"/>
          <w:sz w:val="24"/>
          <w:szCs w:val="24"/>
        </w:rPr>
        <w:t>para o Brasil.</w:t>
      </w:r>
    </w:p>
    <w:p w14:paraId="5B756BBB" w14:textId="77777777" w:rsidR="003F49F7" w:rsidRPr="006A3559" w:rsidRDefault="003F49F7" w:rsidP="003F49F7">
      <w:pPr>
        <w:ind w:firstLine="708"/>
        <w:jc w:val="both"/>
        <w:rPr>
          <w:rFonts w:asciiTheme="minorHAnsi" w:hAnsiTheme="minorHAnsi" w:cstheme="minorHAnsi"/>
          <w:b/>
          <w:sz w:val="24"/>
          <w:szCs w:val="24"/>
        </w:rPr>
      </w:pPr>
    </w:p>
    <w:p w14:paraId="42B2C7C4" w14:textId="77777777" w:rsidR="003F49F7" w:rsidRPr="006A3559" w:rsidRDefault="003F49F7" w:rsidP="003F49F7">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O pirofosfato ácido de sódio é também comercializado sob as designações de SAPP, Pirofosfato Dissódico, Dihidrogênio Pirofosfato Dissódico e Dihidrogênio Difosfato Dissódico, cuja fórmula química é representada por Na2H2P2O7. Ressalte-se que o produto sob revisão abarca apenas os pirofosfatos com dois átomos de sódio, excluindo-se os pirofosfatos com três ou quatro átomos de sódio.</w:t>
      </w:r>
    </w:p>
    <w:p w14:paraId="5FA67415" w14:textId="77777777" w:rsidR="003F49F7" w:rsidRPr="006A3559" w:rsidRDefault="003F49F7" w:rsidP="003F49F7">
      <w:pPr>
        <w:ind w:firstLine="708"/>
        <w:jc w:val="both"/>
        <w:rPr>
          <w:rFonts w:asciiTheme="minorHAnsi" w:hAnsiTheme="minorHAnsi" w:cstheme="minorHAnsi"/>
          <w:bCs/>
          <w:sz w:val="24"/>
          <w:szCs w:val="24"/>
        </w:rPr>
      </w:pPr>
    </w:p>
    <w:p w14:paraId="0FC02738" w14:textId="77777777" w:rsidR="003F49F7" w:rsidRPr="006A3559" w:rsidRDefault="003F49F7" w:rsidP="003F49F7">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 xml:space="preserve">O SAPP é um sal solúvel em água, na forma de pó fino, branco, livre de partículas estranhas, de massa molecular de 221,94 e de pH aproximadamente 4,0 em solução a 1%. </w:t>
      </w:r>
    </w:p>
    <w:p w14:paraId="59AD3DCC" w14:textId="77777777" w:rsidR="003F49F7" w:rsidRPr="006A3559" w:rsidRDefault="003F49F7" w:rsidP="003F49F7">
      <w:pPr>
        <w:jc w:val="both"/>
        <w:rPr>
          <w:rFonts w:asciiTheme="minorHAnsi" w:hAnsiTheme="minorHAnsi" w:cstheme="minorHAnsi"/>
          <w:bCs/>
          <w:sz w:val="24"/>
          <w:szCs w:val="24"/>
        </w:rPr>
      </w:pPr>
    </w:p>
    <w:p w14:paraId="6628ACA0" w14:textId="77777777" w:rsidR="003F49F7" w:rsidRPr="006A3559" w:rsidRDefault="003F49F7" w:rsidP="003F49F7">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O pirofosfato ácido de sódio é classificado no Chemical Abstract Service – CAS sob o no 7758-16-9 e no International Numbering System – INS sob o no 450i. Seu número de registro no Ministério da Saúde é 6.2198.0035 e seu grau alimentício é estabelecido pelo Food Chemical Codex – FCC, que estabelece os seguintes /limites máximos:</w:t>
      </w:r>
    </w:p>
    <w:p w14:paraId="41735715" w14:textId="77777777" w:rsidR="003F49F7" w:rsidRPr="006A3559" w:rsidRDefault="003F49F7" w:rsidP="003F49F7">
      <w:pPr>
        <w:jc w:val="both"/>
        <w:rPr>
          <w:rFonts w:asciiTheme="minorHAnsi" w:hAnsiTheme="minorHAnsi" w:cstheme="minorHAnsi"/>
          <w:bCs/>
          <w:sz w:val="24"/>
          <w:szCs w:val="24"/>
        </w:rPr>
      </w:pPr>
      <w:r w:rsidRPr="006A3559">
        <w:rPr>
          <w:rFonts w:asciiTheme="minorHAnsi" w:hAnsiTheme="minorHAnsi" w:cstheme="minorHAnsi"/>
          <w:bCs/>
          <w:sz w:val="24"/>
          <w:szCs w:val="24"/>
        </w:rPr>
        <w:t>- Teor: 93,0% – 100,5%;</w:t>
      </w:r>
    </w:p>
    <w:p w14:paraId="00E09C1F" w14:textId="77777777" w:rsidR="003F49F7" w:rsidRPr="006A3559" w:rsidRDefault="003F49F7" w:rsidP="003F49F7">
      <w:pPr>
        <w:jc w:val="both"/>
        <w:rPr>
          <w:rFonts w:asciiTheme="minorHAnsi" w:hAnsiTheme="minorHAnsi" w:cstheme="minorHAnsi"/>
          <w:bCs/>
          <w:sz w:val="24"/>
          <w:szCs w:val="24"/>
        </w:rPr>
      </w:pPr>
      <w:r w:rsidRPr="006A3559">
        <w:rPr>
          <w:rFonts w:asciiTheme="minorHAnsi" w:hAnsiTheme="minorHAnsi" w:cstheme="minorHAnsi"/>
          <w:bCs/>
          <w:sz w:val="24"/>
          <w:szCs w:val="24"/>
        </w:rPr>
        <w:t>- Arsênio: 3 mg/kg máx. (ou 3 ppm máx.);</w:t>
      </w:r>
    </w:p>
    <w:p w14:paraId="43D1FC6C" w14:textId="77777777" w:rsidR="003F49F7" w:rsidRPr="006A3559" w:rsidRDefault="003F49F7" w:rsidP="003F49F7">
      <w:pPr>
        <w:jc w:val="both"/>
        <w:rPr>
          <w:rFonts w:asciiTheme="minorHAnsi" w:hAnsiTheme="minorHAnsi" w:cstheme="minorHAnsi"/>
          <w:bCs/>
          <w:sz w:val="24"/>
          <w:szCs w:val="24"/>
        </w:rPr>
      </w:pPr>
      <w:r w:rsidRPr="006A3559">
        <w:rPr>
          <w:rFonts w:asciiTheme="minorHAnsi" w:hAnsiTheme="minorHAnsi" w:cstheme="minorHAnsi"/>
          <w:bCs/>
          <w:sz w:val="24"/>
          <w:szCs w:val="24"/>
        </w:rPr>
        <w:t>- Fluoretos: 0,005% máx. (ou 50 ppm máx.);</w:t>
      </w:r>
    </w:p>
    <w:p w14:paraId="69CD86B0" w14:textId="77777777" w:rsidR="003F49F7" w:rsidRPr="006A3559" w:rsidRDefault="003F49F7" w:rsidP="003F49F7">
      <w:pPr>
        <w:jc w:val="both"/>
        <w:rPr>
          <w:rFonts w:asciiTheme="minorHAnsi" w:hAnsiTheme="minorHAnsi" w:cstheme="minorHAnsi"/>
          <w:bCs/>
          <w:sz w:val="24"/>
          <w:szCs w:val="24"/>
        </w:rPr>
      </w:pPr>
      <w:r w:rsidRPr="006A3559">
        <w:rPr>
          <w:rFonts w:asciiTheme="minorHAnsi" w:hAnsiTheme="minorHAnsi" w:cstheme="minorHAnsi"/>
          <w:bCs/>
          <w:sz w:val="24"/>
          <w:szCs w:val="24"/>
        </w:rPr>
        <w:t>- Chumbo: 2 mg/kg máx. (ou 2 ppm máx.);</w:t>
      </w:r>
    </w:p>
    <w:p w14:paraId="0CB4EFDF" w14:textId="77777777" w:rsidR="003F49F7" w:rsidRPr="006A3559" w:rsidRDefault="003F49F7" w:rsidP="003F49F7">
      <w:pPr>
        <w:jc w:val="both"/>
        <w:rPr>
          <w:rFonts w:asciiTheme="minorHAnsi" w:hAnsiTheme="minorHAnsi" w:cstheme="minorHAnsi"/>
          <w:bCs/>
          <w:sz w:val="24"/>
          <w:szCs w:val="24"/>
        </w:rPr>
      </w:pPr>
      <w:r w:rsidRPr="006A3559">
        <w:rPr>
          <w:rFonts w:asciiTheme="minorHAnsi" w:hAnsiTheme="minorHAnsi" w:cstheme="minorHAnsi"/>
          <w:bCs/>
          <w:sz w:val="24"/>
          <w:szCs w:val="24"/>
        </w:rPr>
        <w:t>- Substâncias Insolúveis: 1,0% máx.</w:t>
      </w:r>
    </w:p>
    <w:p w14:paraId="14630100" w14:textId="77777777" w:rsidR="003F49F7" w:rsidRPr="006A3559" w:rsidRDefault="003F49F7" w:rsidP="003F49F7">
      <w:pPr>
        <w:jc w:val="both"/>
        <w:rPr>
          <w:rFonts w:asciiTheme="minorHAnsi" w:hAnsiTheme="minorHAnsi" w:cstheme="minorHAnsi"/>
          <w:bCs/>
          <w:sz w:val="24"/>
          <w:szCs w:val="24"/>
        </w:rPr>
      </w:pPr>
    </w:p>
    <w:p w14:paraId="352A1F50" w14:textId="77777777" w:rsidR="003F49F7" w:rsidRPr="006A3559" w:rsidRDefault="003F49F7" w:rsidP="003F49F7">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 xml:space="preserve">O SAPP é utilizado como fermento químico, estabilizante, regulador de acidez, emulsificante e/ou sequestrante em variados produtos da indústria alimentícia. </w:t>
      </w:r>
    </w:p>
    <w:p w14:paraId="2C001063" w14:textId="77777777" w:rsidR="003F49F7" w:rsidRPr="006A3559" w:rsidRDefault="003F49F7" w:rsidP="003F49F7">
      <w:pPr>
        <w:jc w:val="both"/>
        <w:rPr>
          <w:rFonts w:asciiTheme="minorHAnsi" w:hAnsiTheme="minorHAnsi" w:cstheme="minorHAnsi"/>
          <w:bCs/>
          <w:sz w:val="24"/>
          <w:szCs w:val="24"/>
        </w:rPr>
      </w:pPr>
    </w:p>
    <w:p w14:paraId="19817504" w14:textId="77777777" w:rsidR="003F49F7" w:rsidRPr="006A3559" w:rsidRDefault="003F49F7" w:rsidP="003F49F7">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No segmento de panificação e confeitaria, atua como fermento químico. O SAPP reage com o bicarbonato de sódio, controlando a velocidade de liberação do gás carbônico (CO</w:t>
      </w:r>
      <w:r w:rsidRPr="00FF4137">
        <w:rPr>
          <w:rFonts w:asciiTheme="minorHAnsi" w:hAnsiTheme="minorHAnsi" w:cstheme="minorHAnsi"/>
          <w:bCs/>
          <w:sz w:val="24"/>
          <w:szCs w:val="24"/>
          <w:vertAlign w:val="subscript"/>
        </w:rPr>
        <w:t>2</w:t>
      </w:r>
      <w:r w:rsidRPr="006A3559">
        <w:rPr>
          <w:rFonts w:asciiTheme="minorHAnsi" w:hAnsiTheme="minorHAnsi" w:cstheme="minorHAnsi"/>
          <w:bCs/>
          <w:sz w:val="24"/>
          <w:szCs w:val="24"/>
        </w:rPr>
        <w:t>) formado na reação, que irá expandir a massa dos pães, bolos e biscoitos. Em tal aplicação, pode ser utilizado nos fermentos químicos (domésticos e industriais), farinhas com fermento, misturas para bolo, bolos e biscoitos.</w:t>
      </w:r>
    </w:p>
    <w:p w14:paraId="1672E622" w14:textId="77777777" w:rsidR="003F49F7" w:rsidRPr="006A3559" w:rsidRDefault="003F49F7" w:rsidP="003F49F7">
      <w:pPr>
        <w:jc w:val="both"/>
        <w:rPr>
          <w:rFonts w:asciiTheme="minorHAnsi" w:hAnsiTheme="minorHAnsi" w:cstheme="minorHAnsi"/>
          <w:bCs/>
          <w:sz w:val="24"/>
          <w:szCs w:val="24"/>
        </w:rPr>
      </w:pPr>
    </w:p>
    <w:p w14:paraId="50F36B5C" w14:textId="77777777" w:rsidR="003F49F7" w:rsidRPr="006A3559" w:rsidRDefault="003F49F7" w:rsidP="003F49F7">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Em produtos cárneos, a função do SAPP é a de baixar o pH do produto durante o processamento, permitindo aumentar a velocidade de cura do embutido e atuando como estabilizante. Dessa forma, o embutido desenvolve a coloração rósea de produto curado mais rapidamente, agilizando o processo de produção. Nesses casos, o SAPP é utilizado em produtos cárneos processados, tais como salsichas, mortadelas, linguiças, e outros embutidos, defumados e congelados de carne bovina, frango, peixes e frutos do mar.</w:t>
      </w:r>
    </w:p>
    <w:p w14:paraId="256A8D6D" w14:textId="77777777" w:rsidR="003F49F7" w:rsidRPr="006A3559" w:rsidRDefault="003F49F7" w:rsidP="003F49F7">
      <w:pPr>
        <w:ind w:firstLine="708"/>
        <w:jc w:val="both"/>
        <w:rPr>
          <w:rFonts w:asciiTheme="minorHAnsi" w:hAnsiTheme="minorHAnsi" w:cstheme="minorHAnsi"/>
          <w:bCs/>
          <w:sz w:val="24"/>
          <w:szCs w:val="24"/>
        </w:rPr>
      </w:pPr>
    </w:p>
    <w:p w14:paraId="03C062BF" w14:textId="77777777" w:rsidR="003F49F7" w:rsidRPr="006A3559" w:rsidRDefault="003F49F7" w:rsidP="003F49F7">
      <w:pPr>
        <w:ind w:firstLine="708"/>
        <w:jc w:val="both"/>
        <w:rPr>
          <w:rFonts w:asciiTheme="minorHAnsi" w:hAnsiTheme="minorHAnsi" w:cstheme="minorHAnsi"/>
          <w:bCs/>
          <w:sz w:val="24"/>
          <w:szCs w:val="24"/>
        </w:rPr>
      </w:pPr>
      <w:r w:rsidRPr="006A3559">
        <w:rPr>
          <w:rFonts w:asciiTheme="minorHAnsi" w:hAnsiTheme="minorHAnsi" w:cstheme="minorHAnsi"/>
          <w:bCs/>
          <w:sz w:val="24"/>
          <w:szCs w:val="24"/>
        </w:rPr>
        <w:t>Em produtos lácteos, como o leite UHT, queijos processados e requeijões, o SAPP atua com a função de estabilizante e emulsificante. Na fabricação de batatas processadas, tais como batatas cortadas congeladas, o SAPP desempenha a função de estabilizante. Além disso, pode ser utilizado em vários outros produtos alimentícios, tais como sopas e caldos, cereais, óleos e gorduras, snacks e preparações culinárias.</w:t>
      </w:r>
    </w:p>
    <w:p w14:paraId="0698EC31" w14:textId="77777777" w:rsidR="003F49F7" w:rsidRPr="006A3559" w:rsidRDefault="003F49F7" w:rsidP="003F49F7">
      <w:pPr>
        <w:ind w:firstLine="708"/>
        <w:jc w:val="both"/>
        <w:rPr>
          <w:rFonts w:asciiTheme="minorHAnsi" w:hAnsiTheme="minorHAnsi" w:cstheme="minorHAnsi"/>
          <w:bCs/>
          <w:sz w:val="24"/>
          <w:szCs w:val="24"/>
        </w:rPr>
      </w:pPr>
    </w:p>
    <w:p w14:paraId="3FCE9217" w14:textId="33A9CD1F" w:rsidR="00205634" w:rsidRPr="008C6478" w:rsidRDefault="003F49F7" w:rsidP="003F49F7">
      <w:pPr>
        <w:jc w:val="both"/>
        <w:rPr>
          <w:rFonts w:asciiTheme="minorHAnsi" w:hAnsiTheme="minorHAnsi" w:cstheme="minorHAnsi"/>
          <w:sz w:val="24"/>
          <w:szCs w:val="24"/>
        </w:rPr>
      </w:pPr>
      <w:r w:rsidRPr="006A3559">
        <w:rPr>
          <w:rFonts w:asciiTheme="minorHAnsi" w:hAnsiTheme="minorHAnsi" w:cstheme="minorHAnsi"/>
          <w:bCs/>
          <w:sz w:val="24"/>
          <w:szCs w:val="24"/>
        </w:rPr>
        <w:t xml:space="preserve">SAPP também é utilizado no tratamento de água, com a função de sequestrar íons indesejáveis (Ca, Fe, </w:t>
      </w:r>
      <w:r w:rsidRPr="006A3559">
        <w:rPr>
          <w:rFonts w:asciiTheme="minorHAnsi" w:hAnsiTheme="minorHAnsi" w:cstheme="minorHAnsi"/>
          <w:bCs/>
          <w:sz w:val="24"/>
          <w:szCs w:val="24"/>
        </w:rPr>
        <w:lastRenderedPageBreak/>
        <w:t>Mg e Mn), bem como com a função de palatabilizante na produção de ração animal.</w:t>
      </w:r>
    </w:p>
    <w:p w14:paraId="72C758E4" w14:textId="77777777" w:rsidR="00205634" w:rsidRPr="008C6478" w:rsidRDefault="00205634" w:rsidP="00205634">
      <w:pPr>
        <w:ind w:left="-142" w:right="-199"/>
        <w:jc w:val="both"/>
        <w:rPr>
          <w:rFonts w:asciiTheme="minorHAnsi" w:hAnsiTheme="minorHAnsi" w:cstheme="minorHAnsi"/>
          <w:sz w:val="24"/>
          <w:szCs w:val="24"/>
        </w:rPr>
      </w:pPr>
    </w:p>
    <w:p w14:paraId="073A4D8F" w14:textId="77777777" w:rsidR="008F736A" w:rsidRPr="006A3559" w:rsidRDefault="008F736A" w:rsidP="008F736A">
      <w:pPr>
        <w:pStyle w:val="Recuodecorpodetexto"/>
        <w:ind w:left="0" w:firstLine="708"/>
        <w:rPr>
          <w:rFonts w:asciiTheme="minorHAnsi" w:hAnsiTheme="minorHAnsi" w:cstheme="minorHAnsi"/>
          <w:bCs/>
          <w:sz w:val="24"/>
          <w:szCs w:val="24"/>
        </w:rPr>
      </w:pPr>
      <w:r w:rsidRPr="00F618F2">
        <w:rPr>
          <w:rFonts w:asciiTheme="minorHAnsi" w:hAnsiTheme="minorHAnsi" w:cstheme="minorHAnsi"/>
          <w:bCs/>
          <w:sz w:val="24"/>
          <w:szCs w:val="24"/>
        </w:rPr>
        <w:t xml:space="preserve">Cabe </w:t>
      </w:r>
      <w:r w:rsidRPr="006A3559">
        <w:rPr>
          <w:rFonts w:asciiTheme="minorHAnsi" w:hAnsiTheme="minorHAnsi" w:cstheme="minorHAnsi"/>
          <w:bCs/>
          <w:sz w:val="24"/>
          <w:szCs w:val="24"/>
        </w:rPr>
        <w:t xml:space="preserve">ressaltar que o subitem tarifário 2835.39.20 da NCM engloba </w:t>
      </w:r>
      <w:r w:rsidRPr="00F618F2">
        <w:rPr>
          <w:rFonts w:asciiTheme="minorHAnsi" w:hAnsiTheme="minorHAnsi" w:cstheme="minorHAnsi"/>
          <w:bCs/>
          <w:sz w:val="24"/>
          <w:szCs w:val="24"/>
        </w:rPr>
        <w:t>diversos tipos de pirofosfatos</w:t>
      </w:r>
      <w:r w:rsidRPr="006A3559">
        <w:rPr>
          <w:rFonts w:asciiTheme="minorHAnsi" w:hAnsiTheme="minorHAnsi" w:cstheme="minorHAnsi"/>
          <w:bCs/>
          <w:sz w:val="24"/>
          <w:szCs w:val="24"/>
        </w:rPr>
        <w:t xml:space="preserve"> além do</w:t>
      </w:r>
      <w:r w:rsidRPr="00F618F2">
        <w:rPr>
          <w:rFonts w:asciiTheme="minorHAnsi" w:hAnsiTheme="minorHAnsi" w:cstheme="minorHAnsi"/>
          <w:bCs/>
          <w:sz w:val="24"/>
          <w:szCs w:val="24"/>
        </w:rPr>
        <w:t xml:space="preserve"> pirofosfato ácido dissódico, grau alimentício</w:t>
      </w:r>
      <w:r w:rsidRPr="006A3559">
        <w:rPr>
          <w:rFonts w:asciiTheme="minorHAnsi" w:hAnsiTheme="minorHAnsi" w:cstheme="minorHAnsi"/>
          <w:bCs/>
          <w:sz w:val="24"/>
          <w:szCs w:val="24"/>
        </w:rPr>
        <w:t xml:space="preserve">, objeto da revisão. Dessa forma, </w:t>
      </w:r>
      <w:r w:rsidRPr="006A3559">
        <w:rPr>
          <w:rFonts w:asciiTheme="minorHAnsi" w:hAnsiTheme="minorHAnsi" w:cstheme="minorHAnsi"/>
          <w:b/>
          <w:sz w:val="24"/>
          <w:szCs w:val="24"/>
          <w:u w:val="single"/>
        </w:rPr>
        <w:t>estão excluídos do escopo da revisão</w:t>
      </w:r>
      <w:r w:rsidRPr="00F618F2">
        <w:rPr>
          <w:rFonts w:asciiTheme="minorHAnsi" w:hAnsiTheme="minorHAnsi" w:cstheme="minorHAnsi"/>
          <w:bCs/>
          <w:sz w:val="24"/>
          <w:szCs w:val="24"/>
        </w:rPr>
        <w:t>:</w:t>
      </w:r>
      <w:r w:rsidRPr="006A3559">
        <w:rPr>
          <w:rFonts w:asciiTheme="minorHAnsi" w:hAnsiTheme="minorHAnsi" w:cstheme="minorHAnsi"/>
          <w:bCs/>
          <w:sz w:val="24"/>
          <w:szCs w:val="24"/>
        </w:rPr>
        <w:t xml:space="preserve"> </w:t>
      </w:r>
    </w:p>
    <w:p w14:paraId="62BE242A" w14:textId="77777777" w:rsidR="008F736A" w:rsidRPr="006A3559" w:rsidRDefault="008F736A" w:rsidP="008F736A">
      <w:pPr>
        <w:pStyle w:val="Recuodecorpodetexto"/>
        <w:ind w:left="0" w:firstLine="708"/>
        <w:rPr>
          <w:rFonts w:asciiTheme="minorHAnsi" w:hAnsiTheme="minorHAnsi" w:cstheme="minorHAnsi"/>
          <w:bCs/>
          <w:sz w:val="24"/>
          <w:szCs w:val="24"/>
        </w:rPr>
      </w:pPr>
    </w:p>
    <w:p w14:paraId="337E4875" w14:textId="77777777" w:rsidR="008F736A" w:rsidRPr="006A3559" w:rsidRDefault="008F736A" w:rsidP="008F736A">
      <w:pPr>
        <w:pStyle w:val="Recuodecorpodetexto"/>
        <w:ind w:left="0" w:firstLine="0"/>
        <w:rPr>
          <w:rFonts w:asciiTheme="minorHAnsi" w:hAnsiTheme="minorHAnsi" w:cstheme="minorHAnsi"/>
          <w:bCs/>
          <w:sz w:val="24"/>
          <w:szCs w:val="24"/>
        </w:rPr>
      </w:pPr>
      <w:r w:rsidRPr="006A3559">
        <w:rPr>
          <w:rFonts w:asciiTheme="minorHAnsi" w:hAnsiTheme="minorHAnsi" w:cstheme="minorHAnsi"/>
          <w:bCs/>
          <w:sz w:val="24"/>
          <w:szCs w:val="24"/>
        </w:rPr>
        <w:t xml:space="preserve">- Os pirofosfatos com três ou quatro átomos de sódio, quais sejam, os trissódicos, de fórmula química </w:t>
      </w:r>
      <w:r w:rsidRPr="00F618F2">
        <w:rPr>
          <w:rFonts w:ascii="Calibri" w:hAnsi="Calibri" w:cs="Calibri"/>
          <w:bCs/>
          <w:sz w:val="24"/>
          <w:szCs w:val="24"/>
        </w:rPr>
        <w:t>Na</w:t>
      </w:r>
      <w:r w:rsidRPr="00F618F2">
        <w:rPr>
          <w:rFonts w:ascii="Calibri" w:hAnsi="Calibri" w:cs="Calibri"/>
          <w:bCs/>
          <w:sz w:val="24"/>
          <w:szCs w:val="24"/>
          <w:vertAlign w:val="subscript"/>
        </w:rPr>
        <w:t>3</w:t>
      </w:r>
      <w:r w:rsidRPr="00F618F2">
        <w:rPr>
          <w:rFonts w:ascii="Calibri" w:hAnsi="Calibri" w:cs="Calibri"/>
          <w:bCs/>
          <w:sz w:val="24"/>
          <w:szCs w:val="24"/>
        </w:rPr>
        <w:t>HP</w:t>
      </w:r>
      <w:r w:rsidRPr="00F618F2">
        <w:rPr>
          <w:rFonts w:ascii="Calibri" w:hAnsi="Calibri" w:cs="Calibri"/>
          <w:bCs/>
          <w:sz w:val="24"/>
          <w:szCs w:val="24"/>
          <w:vertAlign w:val="subscript"/>
        </w:rPr>
        <w:t>2</w:t>
      </w:r>
      <w:r w:rsidRPr="00F618F2">
        <w:rPr>
          <w:rFonts w:ascii="Calibri" w:hAnsi="Calibri" w:cs="Calibri"/>
          <w:bCs/>
          <w:sz w:val="24"/>
          <w:szCs w:val="24"/>
        </w:rPr>
        <w:t>O</w:t>
      </w:r>
      <w:r w:rsidRPr="00F618F2">
        <w:rPr>
          <w:rFonts w:ascii="Calibri" w:hAnsi="Calibri" w:cs="Calibri"/>
          <w:bCs/>
          <w:sz w:val="24"/>
          <w:szCs w:val="24"/>
          <w:vertAlign w:val="subscript"/>
        </w:rPr>
        <w:t>7</w:t>
      </w:r>
      <w:r w:rsidRPr="006A3559">
        <w:rPr>
          <w:rFonts w:ascii="Calibri" w:hAnsi="Calibri" w:cs="Calibri"/>
          <w:bCs/>
          <w:sz w:val="24"/>
          <w:szCs w:val="24"/>
          <w:vertAlign w:val="subscript"/>
        </w:rPr>
        <w:t xml:space="preserve">, </w:t>
      </w:r>
      <w:r w:rsidRPr="006A3559">
        <w:rPr>
          <w:rFonts w:ascii="Calibri" w:hAnsi="Calibri" w:cs="Calibri"/>
          <w:bCs/>
          <w:sz w:val="24"/>
          <w:szCs w:val="24"/>
        </w:rPr>
        <w:t xml:space="preserve">também comumente conhecidos como </w:t>
      </w:r>
      <w:r w:rsidRPr="00F618F2">
        <w:rPr>
          <w:rFonts w:ascii="Calibri" w:hAnsi="Calibri" w:cs="Calibri"/>
          <w:sz w:val="24"/>
          <w:szCs w:val="24"/>
        </w:rPr>
        <w:t>difosfato trissódico, pirofosfato ácido trissódico e monohidrogênio difosfato trissódico, com aplicação em palatabilizantes para indústria de ração animal</w:t>
      </w:r>
      <w:r w:rsidRPr="006A3559">
        <w:rPr>
          <w:rFonts w:asciiTheme="minorHAnsi" w:hAnsiTheme="minorHAnsi" w:cstheme="minorHAnsi"/>
          <w:bCs/>
          <w:sz w:val="24"/>
          <w:szCs w:val="24"/>
        </w:rPr>
        <w:t>;</w:t>
      </w:r>
    </w:p>
    <w:p w14:paraId="0EAE8B3F" w14:textId="77777777" w:rsidR="008F736A" w:rsidRPr="00F618F2" w:rsidRDefault="008F736A" w:rsidP="008F736A">
      <w:pPr>
        <w:pStyle w:val="Recuodecorpodetexto"/>
        <w:ind w:left="0" w:firstLine="0"/>
        <w:rPr>
          <w:rFonts w:asciiTheme="minorHAnsi" w:hAnsiTheme="minorHAnsi" w:cstheme="minorHAnsi"/>
          <w:bCs/>
          <w:sz w:val="24"/>
          <w:szCs w:val="24"/>
        </w:rPr>
      </w:pPr>
    </w:p>
    <w:p w14:paraId="5920A216" w14:textId="77777777" w:rsidR="008F736A" w:rsidRPr="006A3559" w:rsidRDefault="008F736A" w:rsidP="008F736A">
      <w:pPr>
        <w:pStyle w:val="Recuodecorpodetexto"/>
        <w:ind w:left="0" w:firstLine="0"/>
        <w:rPr>
          <w:rFonts w:asciiTheme="minorHAnsi" w:hAnsiTheme="minorHAnsi" w:cstheme="minorHAnsi"/>
          <w:bCs/>
          <w:sz w:val="24"/>
          <w:szCs w:val="24"/>
        </w:rPr>
      </w:pPr>
      <w:r w:rsidRPr="006A3559">
        <w:rPr>
          <w:rFonts w:asciiTheme="minorHAnsi" w:hAnsiTheme="minorHAnsi" w:cstheme="minorHAnsi"/>
          <w:bCs/>
          <w:sz w:val="24"/>
          <w:szCs w:val="24"/>
        </w:rPr>
        <w:t xml:space="preserve">- Os pirofosfatos tetrassódicos, de fórmula química </w:t>
      </w:r>
      <w:r w:rsidRPr="00F618F2">
        <w:rPr>
          <w:rFonts w:ascii="Calibri" w:hAnsi="Calibri" w:cs="Calibri"/>
          <w:bCs/>
          <w:sz w:val="24"/>
          <w:szCs w:val="24"/>
        </w:rPr>
        <w:t>Na</w:t>
      </w:r>
      <w:r w:rsidRPr="00F618F2">
        <w:rPr>
          <w:rFonts w:ascii="Calibri" w:hAnsi="Calibri" w:cs="Calibri"/>
          <w:bCs/>
          <w:sz w:val="24"/>
          <w:szCs w:val="24"/>
          <w:vertAlign w:val="subscript"/>
        </w:rPr>
        <w:t>4</w:t>
      </w:r>
      <w:r w:rsidRPr="00F618F2">
        <w:rPr>
          <w:rFonts w:ascii="Calibri" w:hAnsi="Calibri" w:cs="Calibri"/>
          <w:bCs/>
          <w:sz w:val="24"/>
          <w:szCs w:val="24"/>
        </w:rPr>
        <w:t>P</w:t>
      </w:r>
      <w:r w:rsidRPr="00F618F2">
        <w:rPr>
          <w:rFonts w:ascii="Calibri" w:hAnsi="Calibri" w:cs="Calibri"/>
          <w:bCs/>
          <w:sz w:val="24"/>
          <w:szCs w:val="24"/>
          <w:vertAlign w:val="subscript"/>
        </w:rPr>
        <w:t>2</w:t>
      </w:r>
      <w:r w:rsidRPr="00F618F2">
        <w:rPr>
          <w:rFonts w:ascii="Calibri" w:hAnsi="Calibri" w:cs="Calibri"/>
          <w:bCs/>
          <w:sz w:val="24"/>
          <w:szCs w:val="24"/>
        </w:rPr>
        <w:t>O</w:t>
      </w:r>
      <w:r w:rsidRPr="00F618F2">
        <w:rPr>
          <w:rFonts w:ascii="Calibri" w:hAnsi="Calibri" w:cs="Calibri"/>
          <w:bCs/>
          <w:sz w:val="24"/>
          <w:szCs w:val="24"/>
          <w:vertAlign w:val="subscript"/>
        </w:rPr>
        <w:t>7</w:t>
      </w:r>
      <w:r w:rsidRPr="006A3559">
        <w:rPr>
          <w:rFonts w:ascii="Calibri" w:hAnsi="Calibri" w:cs="Calibri"/>
          <w:bCs/>
          <w:sz w:val="24"/>
          <w:szCs w:val="24"/>
        </w:rPr>
        <w:t xml:space="preserve">, também comumente conhecidos como </w:t>
      </w:r>
      <w:r w:rsidRPr="00F618F2">
        <w:rPr>
          <w:rFonts w:ascii="Calibri" w:hAnsi="Calibri" w:cs="Calibri"/>
          <w:sz w:val="24"/>
          <w:szCs w:val="24"/>
        </w:rPr>
        <w:t>pirofosfato de sódio e difosfato tetrassódico, com aplicação em dentrifícios, tintas, formuladores para indústria cárnica</w:t>
      </w:r>
      <w:r w:rsidRPr="006A3559">
        <w:rPr>
          <w:rFonts w:asciiTheme="minorHAnsi" w:hAnsiTheme="minorHAnsi" w:cstheme="minorHAnsi"/>
          <w:bCs/>
          <w:sz w:val="24"/>
          <w:szCs w:val="24"/>
        </w:rPr>
        <w:t>; e</w:t>
      </w:r>
    </w:p>
    <w:p w14:paraId="53F71AA8" w14:textId="77777777" w:rsidR="008F736A" w:rsidRPr="006A3559" w:rsidRDefault="008F736A" w:rsidP="008F736A">
      <w:pPr>
        <w:pStyle w:val="Recuodecorpodetexto"/>
        <w:ind w:left="0" w:firstLine="0"/>
        <w:rPr>
          <w:rFonts w:asciiTheme="minorHAnsi" w:hAnsiTheme="minorHAnsi" w:cstheme="minorHAnsi"/>
          <w:bCs/>
          <w:sz w:val="24"/>
          <w:szCs w:val="24"/>
        </w:rPr>
      </w:pPr>
    </w:p>
    <w:p w14:paraId="64AA092E" w14:textId="19A6638E" w:rsidR="00205634" w:rsidRPr="008F736A" w:rsidRDefault="008F736A" w:rsidP="00205634">
      <w:pPr>
        <w:ind w:left="-142" w:right="-199"/>
        <w:jc w:val="both"/>
        <w:rPr>
          <w:rFonts w:asciiTheme="minorHAnsi" w:hAnsiTheme="minorHAnsi" w:cstheme="minorHAnsi"/>
          <w:sz w:val="24"/>
          <w:szCs w:val="24"/>
        </w:rPr>
      </w:pPr>
      <w:r w:rsidRPr="006A3559">
        <w:rPr>
          <w:rFonts w:asciiTheme="minorHAnsi" w:hAnsiTheme="minorHAnsi" w:cstheme="minorHAnsi"/>
          <w:bCs/>
          <w:sz w:val="24"/>
          <w:szCs w:val="24"/>
        </w:rPr>
        <w:t>- Os pirofosfatos de sódio decahidratado, os hexametafosfatos de sódio, os fosfatos dibásicos e os pirofosfatos neutros de sódio.</w:t>
      </w:r>
    </w:p>
    <w:p w14:paraId="2960019F" w14:textId="77777777" w:rsidR="00205634" w:rsidRPr="008C6478" w:rsidRDefault="00205634" w:rsidP="00205634">
      <w:pPr>
        <w:ind w:left="-142" w:right="-199"/>
        <w:jc w:val="both"/>
        <w:rPr>
          <w:rFonts w:asciiTheme="minorHAnsi" w:hAnsiTheme="minorHAnsi" w:cstheme="minorHAnsi"/>
          <w:sz w:val="24"/>
          <w:szCs w:val="24"/>
        </w:rPr>
      </w:pPr>
    </w:p>
    <w:p w14:paraId="632AE895" w14:textId="77777777" w:rsidR="00205634" w:rsidRPr="008C6478" w:rsidRDefault="00205634" w:rsidP="00205634">
      <w:pPr>
        <w:pStyle w:val="Recuodecorpodetexto"/>
        <w:ind w:left="-142" w:right="-199" w:firstLine="0"/>
        <w:rPr>
          <w:rFonts w:asciiTheme="minorHAnsi" w:hAnsiTheme="minorHAnsi" w:cstheme="minorHAnsi"/>
          <w:bCs/>
          <w:sz w:val="24"/>
          <w:szCs w:val="24"/>
        </w:rPr>
      </w:pPr>
      <w:r w:rsidRPr="008C6478">
        <w:rPr>
          <w:rFonts w:asciiTheme="minorHAnsi" w:hAnsiTheme="minorHAnsi" w:cstheme="minorHAnsi"/>
          <w:b/>
          <w:bCs/>
          <w:sz w:val="24"/>
          <w:szCs w:val="24"/>
        </w:rPr>
        <w:t>ii)</w:t>
      </w:r>
      <w:r w:rsidRPr="008C6478">
        <w:rPr>
          <w:rFonts w:asciiTheme="minorHAnsi" w:hAnsiTheme="minorHAnsi" w:cstheme="minorHAnsi"/>
          <w:bCs/>
          <w:sz w:val="24"/>
          <w:szCs w:val="24"/>
        </w:rPr>
        <w:tab/>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dumping:</w:t>
      </w:r>
    </w:p>
    <w:p w14:paraId="00298256"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19DFA02A" w14:textId="77777777" w:rsidR="00430512" w:rsidRPr="006A3559" w:rsidRDefault="00430512" w:rsidP="00430512">
      <w:pPr>
        <w:ind w:left="1080"/>
        <w:jc w:val="both"/>
        <w:rPr>
          <w:rFonts w:asciiTheme="minorHAnsi" w:hAnsiTheme="minorHAnsi" w:cstheme="minorHAnsi"/>
          <w:sz w:val="24"/>
          <w:szCs w:val="24"/>
        </w:rPr>
      </w:pPr>
      <w:r w:rsidRPr="006A3559">
        <w:rPr>
          <w:rFonts w:asciiTheme="minorHAnsi" w:hAnsiTheme="minorHAnsi" w:cstheme="minorHAnsi"/>
          <w:sz w:val="24"/>
          <w:szCs w:val="24"/>
        </w:rPr>
        <w:t>JANEIRO de 2024 a DEZEMBRO de 2024</w:t>
      </w:r>
    </w:p>
    <w:p w14:paraId="01E4848F" w14:textId="77777777" w:rsidR="00205634" w:rsidRPr="00F618F2" w:rsidRDefault="00205634" w:rsidP="00205634">
      <w:pPr>
        <w:ind w:left="-142" w:right="-199"/>
        <w:jc w:val="both"/>
        <w:rPr>
          <w:rFonts w:asciiTheme="minorHAnsi" w:hAnsiTheme="minorHAnsi" w:cstheme="minorHAnsi"/>
          <w:b/>
          <w:sz w:val="24"/>
          <w:szCs w:val="24"/>
        </w:rPr>
      </w:pPr>
    </w:p>
    <w:p w14:paraId="36BE094A" w14:textId="77777777" w:rsidR="00205634" w:rsidRPr="008C6478" w:rsidRDefault="00205634" w:rsidP="00205634">
      <w:pPr>
        <w:ind w:left="-142" w:right="-199"/>
        <w:jc w:val="both"/>
        <w:rPr>
          <w:rFonts w:asciiTheme="minorHAnsi" w:hAnsiTheme="minorHAnsi" w:cstheme="minorHAnsi"/>
          <w:b/>
          <w:sz w:val="24"/>
          <w:szCs w:val="24"/>
        </w:rPr>
      </w:pPr>
    </w:p>
    <w:p w14:paraId="33771D39" w14:textId="77777777" w:rsidR="00205634" w:rsidRPr="008C6478" w:rsidRDefault="00205634" w:rsidP="00205634">
      <w:pPr>
        <w:pStyle w:val="Recuodecorpodetexto"/>
        <w:ind w:left="-142" w:right="-199" w:firstLine="0"/>
        <w:rPr>
          <w:rFonts w:asciiTheme="minorHAnsi" w:hAnsiTheme="minorHAnsi" w:cstheme="minorHAnsi"/>
          <w:bCs/>
          <w:sz w:val="24"/>
          <w:szCs w:val="24"/>
        </w:rPr>
      </w:pPr>
      <w:r w:rsidRPr="008C6478">
        <w:rPr>
          <w:rFonts w:asciiTheme="minorHAnsi" w:hAnsiTheme="minorHAnsi" w:cstheme="minorHAnsi"/>
          <w:b/>
          <w:bCs/>
          <w:sz w:val="24"/>
          <w:szCs w:val="24"/>
        </w:rPr>
        <w:t>iii)</w:t>
      </w:r>
      <w:r w:rsidRPr="008C6478">
        <w:rPr>
          <w:rFonts w:asciiTheme="minorHAnsi" w:hAnsiTheme="minorHAnsi" w:cstheme="minorHAnsi"/>
          <w:b/>
          <w:bCs/>
          <w:sz w:val="24"/>
          <w:szCs w:val="24"/>
        </w:rPr>
        <w:tab/>
      </w:r>
      <w:r w:rsidRPr="008C6478">
        <w:rPr>
          <w:rFonts w:asciiTheme="minorHAnsi" w:hAnsiTheme="minorHAnsi" w:cstheme="minorHAnsi"/>
          <w:bCs/>
          <w:sz w:val="24"/>
          <w:szCs w:val="24"/>
        </w:rPr>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dano:</w:t>
      </w:r>
    </w:p>
    <w:p w14:paraId="7BA8ED2B"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361A6105" w14:textId="77777777" w:rsidR="001C6BF2" w:rsidRPr="006A3559" w:rsidRDefault="001C6BF2" w:rsidP="001C6BF2">
      <w:pPr>
        <w:jc w:val="both"/>
        <w:rPr>
          <w:rFonts w:asciiTheme="minorHAnsi" w:hAnsiTheme="minorHAnsi" w:cstheme="minorHAnsi"/>
          <w:sz w:val="24"/>
          <w:szCs w:val="24"/>
        </w:rPr>
      </w:pPr>
      <w:r w:rsidRPr="006A3559">
        <w:rPr>
          <w:rFonts w:asciiTheme="minorHAnsi" w:hAnsiTheme="minorHAnsi" w:cstheme="minorHAnsi"/>
          <w:sz w:val="24"/>
          <w:szCs w:val="24"/>
        </w:rPr>
        <w:t>JANEIRO de 2020 a DEZEMBRO de 2024, dividido em cinco períodos, conforme especificado abaixo:</w:t>
      </w:r>
    </w:p>
    <w:p w14:paraId="2D08DB3A" w14:textId="77777777" w:rsidR="001C6BF2" w:rsidRPr="006A3559" w:rsidRDefault="001C6BF2" w:rsidP="001C6BF2">
      <w:pPr>
        <w:tabs>
          <w:tab w:val="num" w:pos="0"/>
        </w:tabs>
        <w:jc w:val="both"/>
        <w:rPr>
          <w:rFonts w:asciiTheme="minorHAnsi" w:hAnsiTheme="minorHAnsi" w:cstheme="minorHAnsi"/>
          <w:sz w:val="24"/>
          <w:szCs w:val="24"/>
        </w:rPr>
      </w:pPr>
    </w:p>
    <w:p w14:paraId="47CF14D0" w14:textId="77777777" w:rsidR="001C6BF2" w:rsidRPr="006A3559" w:rsidRDefault="001C6BF2" w:rsidP="001C6BF2">
      <w:pPr>
        <w:ind w:left="1080"/>
        <w:jc w:val="both"/>
        <w:rPr>
          <w:rFonts w:asciiTheme="minorHAnsi" w:hAnsiTheme="minorHAnsi" w:cstheme="minorHAnsi"/>
          <w:sz w:val="24"/>
          <w:szCs w:val="24"/>
        </w:rPr>
      </w:pPr>
      <w:r w:rsidRPr="006A3559">
        <w:rPr>
          <w:rFonts w:asciiTheme="minorHAnsi" w:hAnsiTheme="minorHAnsi" w:cstheme="minorHAnsi"/>
          <w:sz w:val="24"/>
          <w:szCs w:val="24"/>
        </w:rPr>
        <w:t>P1 – janeiro de 2020</w:t>
      </w:r>
      <w:r w:rsidRPr="006A3559" w:rsidDel="00F63D89">
        <w:rPr>
          <w:rFonts w:asciiTheme="minorHAnsi" w:hAnsiTheme="minorHAnsi" w:cstheme="minorHAnsi"/>
          <w:sz w:val="24"/>
          <w:szCs w:val="24"/>
        </w:rPr>
        <w:t xml:space="preserve"> </w:t>
      </w:r>
      <w:r w:rsidRPr="006A3559">
        <w:rPr>
          <w:rFonts w:asciiTheme="minorHAnsi" w:hAnsiTheme="minorHAnsi" w:cstheme="minorHAnsi"/>
          <w:sz w:val="24"/>
          <w:szCs w:val="24"/>
        </w:rPr>
        <w:t>a dezembro de 2020</w:t>
      </w:r>
    </w:p>
    <w:p w14:paraId="6E5E5A1C" w14:textId="77777777" w:rsidR="001C6BF2" w:rsidRPr="006A3559" w:rsidRDefault="001C6BF2" w:rsidP="001C6BF2">
      <w:pPr>
        <w:ind w:left="1080"/>
        <w:jc w:val="both"/>
        <w:rPr>
          <w:rFonts w:asciiTheme="minorHAnsi" w:hAnsiTheme="minorHAnsi" w:cstheme="minorHAnsi"/>
          <w:sz w:val="24"/>
          <w:szCs w:val="24"/>
        </w:rPr>
      </w:pPr>
      <w:r w:rsidRPr="006A3559">
        <w:rPr>
          <w:rFonts w:asciiTheme="minorHAnsi" w:hAnsiTheme="minorHAnsi" w:cstheme="minorHAnsi"/>
          <w:sz w:val="24"/>
          <w:szCs w:val="24"/>
        </w:rPr>
        <w:t>P2 – janeiro de 2021</w:t>
      </w:r>
      <w:r w:rsidRPr="006A3559" w:rsidDel="00F63D89">
        <w:rPr>
          <w:rFonts w:asciiTheme="minorHAnsi" w:hAnsiTheme="minorHAnsi" w:cstheme="minorHAnsi"/>
          <w:sz w:val="24"/>
          <w:szCs w:val="24"/>
        </w:rPr>
        <w:t xml:space="preserve"> </w:t>
      </w:r>
      <w:r w:rsidRPr="006A3559">
        <w:rPr>
          <w:rFonts w:asciiTheme="minorHAnsi" w:hAnsiTheme="minorHAnsi" w:cstheme="minorHAnsi"/>
          <w:sz w:val="24"/>
          <w:szCs w:val="24"/>
        </w:rPr>
        <w:t>a dezembro de 2021</w:t>
      </w:r>
    </w:p>
    <w:p w14:paraId="34B3C940" w14:textId="77777777" w:rsidR="001C6BF2" w:rsidRPr="006A3559" w:rsidRDefault="001C6BF2" w:rsidP="001C6BF2">
      <w:pPr>
        <w:ind w:left="1080"/>
        <w:jc w:val="both"/>
        <w:rPr>
          <w:rFonts w:asciiTheme="minorHAnsi" w:hAnsiTheme="minorHAnsi" w:cstheme="minorHAnsi"/>
          <w:sz w:val="24"/>
          <w:szCs w:val="24"/>
        </w:rPr>
      </w:pPr>
      <w:r w:rsidRPr="006A3559">
        <w:rPr>
          <w:rFonts w:asciiTheme="minorHAnsi" w:hAnsiTheme="minorHAnsi" w:cstheme="minorHAnsi"/>
          <w:sz w:val="24"/>
          <w:szCs w:val="24"/>
        </w:rPr>
        <w:t>P3 – janeiro de 2022</w:t>
      </w:r>
      <w:r w:rsidRPr="006A3559" w:rsidDel="00F63D89">
        <w:rPr>
          <w:rFonts w:asciiTheme="minorHAnsi" w:hAnsiTheme="minorHAnsi" w:cstheme="minorHAnsi"/>
          <w:sz w:val="24"/>
          <w:szCs w:val="24"/>
        </w:rPr>
        <w:t xml:space="preserve"> </w:t>
      </w:r>
      <w:r w:rsidRPr="006A3559">
        <w:rPr>
          <w:rFonts w:asciiTheme="minorHAnsi" w:hAnsiTheme="minorHAnsi" w:cstheme="minorHAnsi"/>
          <w:sz w:val="24"/>
          <w:szCs w:val="24"/>
        </w:rPr>
        <w:t>a dezembro de 2022</w:t>
      </w:r>
    </w:p>
    <w:p w14:paraId="703C776F" w14:textId="77777777" w:rsidR="001C6BF2" w:rsidRPr="006A3559" w:rsidRDefault="001C6BF2" w:rsidP="001C6BF2">
      <w:pPr>
        <w:ind w:left="1080"/>
        <w:jc w:val="both"/>
        <w:rPr>
          <w:rFonts w:asciiTheme="minorHAnsi" w:hAnsiTheme="minorHAnsi" w:cstheme="minorHAnsi"/>
          <w:sz w:val="24"/>
          <w:szCs w:val="24"/>
        </w:rPr>
      </w:pPr>
      <w:r w:rsidRPr="006A3559">
        <w:rPr>
          <w:rFonts w:asciiTheme="minorHAnsi" w:hAnsiTheme="minorHAnsi" w:cstheme="minorHAnsi"/>
          <w:sz w:val="24"/>
          <w:szCs w:val="24"/>
        </w:rPr>
        <w:t>P4 – janeiro de 2023</w:t>
      </w:r>
      <w:r w:rsidRPr="006A3559" w:rsidDel="00F63D89">
        <w:rPr>
          <w:rFonts w:asciiTheme="minorHAnsi" w:hAnsiTheme="minorHAnsi" w:cstheme="minorHAnsi"/>
          <w:sz w:val="24"/>
          <w:szCs w:val="24"/>
        </w:rPr>
        <w:t xml:space="preserve"> </w:t>
      </w:r>
      <w:r w:rsidRPr="006A3559">
        <w:rPr>
          <w:rFonts w:asciiTheme="minorHAnsi" w:hAnsiTheme="minorHAnsi" w:cstheme="minorHAnsi"/>
          <w:sz w:val="24"/>
          <w:szCs w:val="24"/>
        </w:rPr>
        <w:t>a dezembro de 2023</w:t>
      </w:r>
    </w:p>
    <w:p w14:paraId="5ABEDFB3" w14:textId="77777777" w:rsidR="001C6BF2" w:rsidRPr="006A3559" w:rsidRDefault="001C6BF2" w:rsidP="001C6BF2">
      <w:pPr>
        <w:ind w:left="1080"/>
        <w:jc w:val="both"/>
        <w:rPr>
          <w:rFonts w:asciiTheme="minorHAnsi" w:hAnsiTheme="minorHAnsi" w:cstheme="minorHAnsi"/>
          <w:sz w:val="24"/>
          <w:szCs w:val="24"/>
        </w:rPr>
      </w:pPr>
      <w:r w:rsidRPr="006A3559">
        <w:rPr>
          <w:rFonts w:asciiTheme="minorHAnsi" w:hAnsiTheme="minorHAnsi" w:cstheme="minorHAnsi"/>
          <w:sz w:val="24"/>
          <w:szCs w:val="24"/>
        </w:rPr>
        <w:t>P5 – janeiro de 2024</w:t>
      </w:r>
      <w:r w:rsidRPr="006A3559" w:rsidDel="00F63D89">
        <w:rPr>
          <w:rFonts w:asciiTheme="minorHAnsi" w:hAnsiTheme="minorHAnsi" w:cstheme="minorHAnsi"/>
          <w:sz w:val="24"/>
          <w:szCs w:val="24"/>
        </w:rPr>
        <w:t xml:space="preserve"> </w:t>
      </w:r>
      <w:r w:rsidRPr="006A3559">
        <w:rPr>
          <w:rFonts w:asciiTheme="minorHAnsi" w:hAnsiTheme="minorHAnsi" w:cstheme="minorHAnsi"/>
          <w:sz w:val="24"/>
          <w:szCs w:val="24"/>
        </w:rPr>
        <w:t>a dezembro de 2024</w:t>
      </w:r>
    </w:p>
    <w:p w14:paraId="23336BEC" w14:textId="77777777" w:rsidR="00BF7C50" w:rsidRPr="008C6478" w:rsidRDefault="00BF7C50" w:rsidP="00717CB0">
      <w:pPr>
        <w:rPr>
          <w:rFonts w:asciiTheme="minorHAnsi" w:hAnsiTheme="minorHAnsi" w:cstheme="minorHAnsi"/>
          <w:snapToGrid/>
        </w:rPr>
      </w:pP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contrato, etc.).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 xml:space="preserve">etc.)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seus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r w:rsidR="008001DF" w:rsidRPr="008C6478">
        <w:rPr>
          <w:rFonts w:asciiTheme="minorHAnsi" w:hAnsiTheme="minorHAnsi" w:cstheme="minorHAnsi"/>
          <w:b/>
          <w:sz w:val="24"/>
        </w:rPr>
        <w:t>tolling</w:t>
      </w:r>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tal(is) venda(s) (preço, condições de pagamento, etc.) e a evolução do </w:t>
      </w:r>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8C6478"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8C6478" w:rsidRDefault="00A00973"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r w:rsidRPr="008C6478">
        <w:rPr>
          <w:rFonts w:asciiTheme="minorHAnsi" w:hAnsiTheme="minorHAnsi" w:cstheme="minorHAnsi"/>
          <w:sz w:val="24"/>
          <w:szCs w:val="24"/>
        </w:rPr>
        <w:t>is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 xml:space="preserve">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w:t>
      </w:r>
      <w:r w:rsidRPr="008C6478">
        <w:rPr>
          <w:rFonts w:asciiTheme="minorHAnsi" w:hAnsiTheme="minorHAnsi" w:cstheme="minorHAnsi"/>
          <w:sz w:val="24"/>
          <w:szCs w:val="24"/>
        </w:rPr>
        <w:lastRenderedPageBreak/>
        <w:t>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18"/>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18"/>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lastRenderedPageBreak/>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lastRenderedPageBreak/>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208F03F3"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t xml:space="preserve">Informar </w:t>
      </w:r>
      <w:r w:rsidRPr="008C6478">
        <w:rPr>
          <w:rFonts w:asciiTheme="minorHAnsi" w:hAnsiTheme="minorHAnsi" w:cstheme="minorHAnsi"/>
          <w:sz w:val="24"/>
          <w:szCs w:val="24"/>
        </w:rPr>
        <w:t xml:space="preserve">os investimentos realizados </w:t>
      </w:r>
      <w:r w:rsidR="00D35A83" w:rsidRPr="007115D2">
        <w:rPr>
          <w:rFonts w:asciiTheme="minorHAnsi" w:hAnsiTheme="minorHAnsi" w:cstheme="minorHAnsi"/>
          <w:sz w:val="24"/>
          <w:szCs w:val="24"/>
        </w:rPr>
        <w:t xml:space="preserve">de </w:t>
      </w:r>
      <w:r w:rsidR="007115D2" w:rsidRPr="007115D2">
        <w:rPr>
          <w:rFonts w:asciiTheme="minorHAnsi" w:hAnsiTheme="minorHAnsi" w:cstheme="minorHAnsi"/>
          <w:b/>
          <w:sz w:val="24"/>
          <w:szCs w:val="24"/>
        </w:rPr>
        <w:t>janeiro de 2020 a dezembro de 2024</w:t>
      </w:r>
      <w:r w:rsidRPr="008C6478">
        <w:rPr>
          <w:rFonts w:asciiTheme="minorHAnsi" w:hAnsiTheme="minorHAnsi" w:cstheme="minorHAnsi"/>
          <w:sz w:val="24"/>
          <w:szCs w:val="24"/>
        </w:rPr>
        <w:t xml:space="preserve">, na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os mesmos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r w:rsidR="00122B21" w:rsidRPr="008C6478">
        <w:rPr>
          <w:rFonts w:asciiTheme="minorHAnsi" w:hAnsiTheme="minorHAnsi" w:cstheme="minorHAnsi"/>
          <w:sz w:val="24"/>
        </w:rPr>
        <w:t>debêntures</w:t>
      </w:r>
      <w:r w:rsidR="003E34C6" w:rsidRPr="008C6478">
        <w:rPr>
          <w:rFonts w:asciiTheme="minorHAnsi" w:hAnsiTheme="minorHAnsi" w:cstheme="minorHAnsi"/>
          <w:sz w:val="24"/>
        </w:rPr>
        <w:t>, etc.).</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4D3B6352"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a empresa tomou empréstimo de curto prazo no período de </w:t>
      </w:r>
      <w:r w:rsidR="007115D2" w:rsidRPr="007115D2">
        <w:rPr>
          <w:rFonts w:asciiTheme="minorHAnsi" w:hAnsiTheme="minorHAnsi" w:cstheme="minorHAnsi"/>
          <w:b/>
          <w:sz w:val="24"/>
          <w:szCs w:val="24"/>
        </w:rPr>
        <w:t>janeiro de 2020 a dezembro de 2024</w:t>
      </w:r>
      <w:r w:rsidRPr="008C6478">
        <w:rPr>
          <w:rFonts w:asciiTheme="minorHAnsi" w:hAnsiTheme="minorHAnsi" w:cstheme="minorHAnsi"/>
          <w:sz w:val="24"/>
          <w:szCs w:val="24"/>
        </w:rPr>
        <w:t xml:space="preserve"> e informar a taxa média de captação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 xml:space="preserve">.0 - Informar a data de registro do recebimento do pagamento efetuado pelo cliente. Caso não seja possível recuperar tal data, informar o prazo médio de pagamento acordado. Se uma fatura em </w:t>
      </w:r>
      <w:r w:rsidRPr="008C6478">
        <w:rPr>
          <w:rFonts w:asciiTheme="minorHAnsi" w:hAnsiTheme="minorHAnsi" w:cstheme="minorHAnsi"/>
          <w:sz w:val="24"/>
          <w:szCs w:val="24"/>
        </w:rPr>
        <w:lastRenderedPageBreak/>
        <w:t>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ex fabrica</w:t>
      </w:r>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w:t>
      </w:r>
      <w:r w:rsidR="001E3E3B" w:rsidRPr="008C6478">
        <w:rPr>
          <w:rFonts w:asciiTheme="minorHAnsi" w:hAnsiTheme="minorHAnsi" w:cstheme="minorHAnsi"/>
          <w:sz w:val="24"/>
          <w:szCs w:val="24"/>
        </w:rPr>
        <w:lastRenderedPageBreak/>
        <w:t>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661E2C7"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r w:rsidR="00FD16C8" w:rsidRPr="008C6478">
        <w:rPr>
          <w:rFonts w:asciiTheme="minorHAnsi" w:hAnsiTheme="minorHAnsi" w:cstheme="minorHAnsi"/>
          <w:sz w:val="24"/>
        </w:rPr>
        <w:t xml:space="preserve">Fornecer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lastRenderedPageBreak/>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6DB974FA" w:rsidR="00BD34E1" w:rsidRPr="008C6478" w:rsidRDefault="00BD34E1" w:rsidP="00BD34E1">
      <w:pPr>
        <w:jc w:val="both"/>
        <w:rPr>
          <w:rFonts w:asciiTheme="minorHAnsi" w:hAnsiTheme="minorHAnsi" w:cstheme="minorHAnsi"/>
          <w:sz w:val="24"/>
          <w:szCs w:val="24"/>
        </w:rPr>
      </w:pPr>
      <w:r w:rsidRPr="008C6478">
        <w:rPr>
          <w:rFonts w:asciiTheme="minorHAnsi" w:hAnsiTheme="minorHAnsi" w:cstheme="minorHAnsi"/>
          <w:sz w:val="24"/>
        </w:rPr>
        <w:t xml:space="preserve">2.1 </w:t>
      </w:r>
      <w:r w:rsidRPr="008C6478">
        <w:rPr>
          <w:rFonts w:asciiTheme="minorHAnsi" w:hAnsiTheme="minorHAnsi" w:cstheme="minorHAnsi"/>
          <w:sz w:val="24"/>
        </w:rPr>
        <w:tab/>
        <w:t>In</w:t>
      </w:r>
      <w:r w:rsidRPr="008C6478">
        <w:rPr>
          <w:rFonts w:asciiTheme="minorHAnsi" w:hAnsiTheme="minorHAnsi" w:cstheme="minorHAnsi"/>
          <w:sz w:val="24"/>
          <w:szCs w:val="24"/>
        </w:rPr>
        <w:t xml:space="preserve">formar se, durante o período </w:t>
      </w:r>
      <w:r w:rsidRPr="008D74A5">
        <w:rPr>
          <w:rFonts w:asciiTheme="minorHAnsi" w:hAnsiTheme="minorHAnsi" w:cstheme="minorHAnsi"/>
          <w:sz w:val="24"/>
          <w:szCs w:val="24"/>
        </w:rPr>
        <w:t xml:space="preserve">de </w:t>
      </w:r>
      <w:r w:rsidR="00AF4F2B" w:rsidRPr="008D74A5">
        <w:rPr>
          <w:rFonts w:asciiTheme="minorHAnsi" w:hAnsiTheme="minorHAnsi" w:cstheme="minorHAnsi"/>
          <w:b/>
          <w:sz w:val="24"/>
          <w:szCs w:val="24"/>
        </w:rPr>
        <w:t xml:space="preserve">janeiro </w:t>
      </w:r>
      <w:r w:rsidR="008D74A5" w:rsidRPr="008D74A5">
        <w:rPr>
          <w:rFonts w:asciiTheme="minorHAnsi" w:hAnsiTheme="minorHAnsi" w:cstheme="minorHAnsi"/>
          <w:b/>
          <w:sz w:val="24"/>
          <w:szCs w:val="24"/>
        </w:rPr>
        <w:t>de 2020 a dezembro de 2024</w:t>
      </w:r>
      <w:r w:rsidR="008D74A5" w:rsidRPr="008D74A5">
        <w:rPr>
          <w:rFonts w:asciiTheme="minorHAnsi" w:hAnsiTheme="minorHAnsi" w:cstheme="minorHAnsi"/>
          <w:bCs/>
          <w:sz w:val="24"/>
          <w:szCs w:val="24"/>
        </w:rPr>
        <w:t>,</w:t>
      </w:r>
      <w:r w:rsidRPr="008D74A5">
        <w:rPr>
          <w:rFonts w:asciiTheme="minorHAnsi" w:hAnsiTheme="minorHAnsi" w:cstheme="minorHAnsi"/>
          <w:sz w:val="24"/>
          <w:szCs w:val="24"/>
        </w:rPr>
        <w:t xml:space="preserve"> houve </w:t>
      </w:r>
      <w:r w:rsidRPr="008C6478">
        <w:rPr>
          <w:rFonts w:asciiTheme="minorHAnsi" w:hAnsiTheme="minorHAnsi" w:cstheme="minorHAnsi"/>
          <w:sz w:val="24"/>
          <w:szCs w:val="24"/>
        </w:rPr>
        <w:t>mudanças no padrão de consumo no mercado brasileiro do produto importado.</w:t>
      </w:r>
    </w:p>
    <w:p w14:paraId="27B5EADA" w14:textId="77777777" w:rsidR="00BD34E1" w:rsidRPr="008C6478"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2</w:t>
      </w:r>
      <w:r w:rsidRPr="008C6478">
        <w:rPr>
          <w:rFonts w:asciiTheme="minorHAnsi" w:hAnsiTheme="minorHAnsi" w:cstheme="minorHAnsi"/>
          <w:sz w:val="24"/>
          <w:szCs w:val="24"/>
        </w:rPr>
        <w:tab/>
      </w:r>
      <w:r w:rsidR="00D80BF8" w:rsidRPr="008C647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o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progresso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desempenho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IX - qualquer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70A7A4C0"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8C6478">
        <w:rPr>
          <w:rFonts w:asciiTheme="minorHAnsi" w:hAnsiTheme="minorHAnsi" w:cstheme="minorHAnsi"/>
          <w:sz w:val="24"/>
          <w:szCs w:val="24"/>
        </w:rPr>
        <w:t>Em sendo o caso, d</w:t>
      </w:r>
      <w:r w:rsidRPr="008C6478">
        <w:rPr>
          <w:rFonts w:asciiTheme="minorHAnsi" w:hAnsiTheme="minorHAnsi" w:cstheme="minorHAnsi"/>
          <w:sz w:val="24"/>
          <w:szCs w:val="24"/>
        </w:rPr>
        <w:t xml:space="preserve">escrever, detalhadamente, os/as </w:t>
      </w:r>
      <w:r w:rsidR="008D74A5" w:rsidRPr="008D74A5">
        <w:rPr>
          <w:rFonts w:asciiTheme="minorHAnsi" w:hAnsiTheme="minorHAnsi" w:cstheme="minorHAnsi"/>
          <w:sz w:val="24"/>
          <w:szCs w:val="24"/>
        </w:rPr>
        <w:t>SAPP</w:t>
      </w:r>
      <w:r w:rsidRPr="008D74A5">
        <w:rPr>
          <w:rFonts w:asciiTheme="minorHAnsi" w:hAnsiTheme="minorHAnsi" w:cstheme="minorHAnsi"/>
          <w:sz w:val="24"/>
          <w:szCs w:val="24"/>
        </w:rPr>
        <w:t xml:space="preserve"> </w:t>
      </w:r>
      <w:r w:rsidRPr="008C6478">
        <w:rPr>
          <w:rFonts w:asciiTheme="minorHAnsi" w:hAnsiTheme="minorHAnsi" w:cstheme="minorHAnsi"/>
          <w:sz w:val="24"/>
          <w:szCs w:val="24"/>
        </w:rPr>
        <w:t xml:space="preserve">importados(as) por essa empresa. Acrescentar informações e especificações relevantes que permitam caracterizar tecnicamente este produto, tais como nome/código comercial do fabricante, tipo, mercado a que se destina, dentre outros. Se disponível, anexar catálogo de </w:t>
      </w:r>
      <w:r w:rsidR="008D74A5" w:rsidRPr="008D74A5">
        <w:rPr>
          <w:rFonts w:asciiTheme="minorHAnsi" w:hAnsiTheme="minorHAnsi" w:cstheme="minorHAnsi"/>
          <w:sz w:val="24"/>
          <w:szCs w:val="24"/>
        </w:rPr>
        <w:t>SAPP</w:t>
      </w:r>
      <w:r w:rsidRPr="008C6478">
        <w:rPr>
          <w:rFonts w:asciiTheme="minorHAnsi" w:hAnsiTheme="minorHAnsi" w:cstheme="minorHAnsi"/>
          <w:sz w:val="24"/>
          <w:szCs w:val="24"/>
        </w:rPr>
        <w:t>.</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35A2F579"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t xml:space="preserve">Esclarecer se essa empresa submete o </w:t>
      </w:r>
      <w:r w:rsidR="008D74A5" w:rsidRPr="008D74A5">
        <w:rPr>
          <w:rFonts w:asciiTheme="minorHAnsi" w:hAnsiTheme="minorHAnsi" w:cstheme="minorHAnsi"/>
          <w:sz w:val="24"/>
          <w:szCs w:val="24"/>
        </w:rPr>
        <w:t>SAPP</w:t>
      </w:r>
      <w:r w:rsidRPr="008C6478">
        <w:rPr>
          <w:rFonts w:asciiTheme="minorHAnsi" w:hAnsiTheme="minorHAnsi" w:cstheme="minorHAnsi"/>
          <w:sz w:val="24"/>
          <w:szCs w:val="24"/>
        </w:rPr>
        <w:t xml:space="preserve"> importado(a) a algum processo de transformação e/ou embalagem, descrevendo sucintamente tal processo, ou se o(a) utiliza e/ou revende na forma em que foi importado(a). Informar, ainda, se o </w:t>
      </w:r>
      <w:r w:rsidR="008D74A5" w:rsidRPr="008D74A5">
        <w:rPr>
          <w:rFonts w:asciiTheme="minorHAnsi" w:hAnsiTheme="minorHAnsi" w:cstheme="minorHAnsi"/>
          <w:sz w:val="24"/>
          <w:szCs w:val="24"/>
        </w:rPr>
        <w:t>SAPP</w:t>
      </w:r>
      <w:r w:rsidRPr="008C6478">
        <w:rPr>
          <w:rFonts w:asciiTheme="minorHAnsi" w:hAnsiTheme="minorHAnsi" w:cstheme="minorHAnsi"/>
          <w:sz w:val="24"/>
          <w:szCs w:val="24"/>
        </w:rPr>
        <w:t xml:space="preserve"> importado(a) é posteriormente exportado(a) ou vendido(a)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1C57838C"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 xml:space="preserve">Caso essa empresa revenda o/a </w:t>
      </w:r>
      <w:r w:rsidR="008D74A5" w:rsidRPr="008D74A5">
        <w:rPr>
          <w:rFonts w:asciiTheme="minorHAnsi" w:hAnsiTheme="minorHAnsi" w:cstheme="minorHAnsi"/>
          <w:sz w:val="24"/>
          <w:szCs w:val="24"/>
        </w:rPr>
        <w:t xml:space="preserve">SAPP </w:t>
      </w:r>
      <w:r w:rsidRPr="008C6478">
        <w:rPr>
          <w:rFonts w:asciiTheme="minorHAnsi" w:hAnsiTheme="minorHAnsi" w:cstheme="minorHAnsi"/>
          <w:sz w:val="24"/>
          <w:szCs w:val="24"/>
        </w:rPr>
        <w:t>importado(a),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8C6478" w:rsidRDefault="00244A00" w:rsidP="00244A00">
      <w:pPr>
        <w:ind w:left="-142" w:right="-199"/>
        <w:jc w:val="both"/>
        <w:rPr>
          <w:rFonts w:asciiTheme="minorHAnsi" w:hAnsiTheme="minorHAnsi" w:cstheme="minorHAnsi"/>
          <w:sz w:val="24"/>
          <w:szCs w:val="24"/>
        </w:rPr>
      </w:pPr>
    </w:p>
    <w:p w14:paraId="4CBAE2A1" w14:textId="2CA7F36D" w:rsidR="00244A00" w:rsidRPr="008C6478" w:rsidRDefault="00244A00" w:rsidP="00244A00">
      <w:pPr>
        <w:pStyle w:val="Corpodetexto"/>
        <w:tabs>
          <w:tab w:val="left" w:pos="709"/>
        </w:tabs>
        <w:ind w:left="-142" w:right="-199"/>
        <w:rPr>
          <w:rFonts w:asciiTheme="minorHAnsi" w:hAnsiTheme="minorHAnsi" w:cstheme="minorHAnsi"/>
          <w:sz w:val="24"/>
          <w:szCs w:val="24"/>
        </w:rPr>
      </w:pPr>
      <w:r w:rsidRPr="008C6478">
        <w:rPr>
          <w:rFonts w:asciiTheme="minorHAnsi" w:hAnsiTheme="minorHAnsi" w:cstheme="minorHAnsi"/>
          <w:sz w:val="24"/>
          <w:szCs w:val="24"/>
        </w:rPr>
        <w:t>7.</w:t>
      </w:r>
      <w:r w:rsidRPr="008C6478">
        <w:rPr>
          <w:rFonts w:asciiTheme="minorHAnsi" w:hAnsiTheme="minorHAnsi" w:cstheme="minorHAnsi"/>
          <w:sz w:val="24"/>
          <w:szCs w:val="24"/>
        </w:rPr>
        <w:tab/>
        <w:t xml:space="preserve">Esclarecer a política comercial na aquisição de </w:t>
      </w:r>
      <w:r w:rsidR="008D74A5" w:rsidRPr="008D74A5">
        <w:rPr>
          <w:rFonts w:asciiTheme="minorHAnsi" w:hAnsiTheme="minorHAnsi" w:cstheme="minorHAnsi"/>
          <w:sz w:val="24"/>
          <w:szCs w:val="24"/>
        </w:rPr>
        <w:t>SAPP</w:t>
      </w:r>
      <w:r w:rsidRPr="008C6478">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 etc.</w:t>
      </w:r>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3DD2A9E2" w:rsidR="00244A00" w:rsidRPr="004F1109" w:rsidRDefault="00244A00" w:rsidP="00A01D5C">
      <w:pPr>
        <w:ind w:left="-142" w:right="-199"/>
        <w:jc w:val="both"/>
        <w:rPr>
          <w:rFonts w:asciiTheme="minorHAnsi" w:hAnsiTheme="minorHAnsi" w:cstheme="minorHAnsi"/>
          <w:b/>
          <w:sz w:val="24"/>
          <w:szCs w:val="24"/>
        </w:rPr>
      </w:pPr>
      <w:r w:rsidRPr="004F1109">
        <w:rPr>
          <w:rFonts w:asciiTheme="minorHAnsi" w:hAnsiTheme="minorHAnsi" w:cstheme="minorHAnsi"/>
          <w:sz w:val="24"/>
          <w:szCs w:val="24"/>
        </w:rPr>
        <w:t>11.</w:t>
      </w:r>
      <w:r w:rsidRPr="004F1109">
        <w:rPr>
          <w:rFonts w:asciiTheme="minorHAnsi" w:hAnsiTheme="minorHAnsi" w:cstheme="minorHAnsi"/>
          <w:sz w:val="24"/>
          <w:szCs w:val="24"/>
        </w:rPr>
        <w:tab/>
        <w:t xml:space="preserve">Preencher o </w:t>
      </w:r>
      <w:r w:rsidRPr="004F1109">
        <w:rPr>
          <w:rFonts w:asciiTheme="minorHAnsi" w:hAnsiTheme="minorHAnsi" w:cstheme="minorHAnsi"/>
          <w:b/>
          <w:bCs/>
          <w:sz w:val="24"/>
          <w:szCs w:val="24"/>
        </w:rPr>
        <w:t xml:space="preserve">Apêndice </w:t>
      </w:r>
      <w:r w:rsidR="00372DFA" w:rsidRPr="004F1109">
        <w:rPr>
          <w:rFonts w:asciiTheme="minorHAnsi" w:hAnsiTheme="minorHAnsi" w:cstheme="minorHAnsi"/>
          <w:b/>
          <w:bCs/>
          <w:sz w:val="24"/>
          <w:szCs w:val="24"/>
        </w:rPr>
        <w:t>XV</w:t>
      </w:r>
      <w:r w:rsidR="0006596D" w:rsidRPr="004F1109">
        <w:rPr>
          <w:rFonts w:asciiTheme="minorHAnsi" w:hAnsiTheme="minorHAnsi" w:cstheme="minorHAnsi"/>
          <w:b/>
          <w:bCs/>
          <w:sz w:val="24"/>
          <w:szCs w:val="24"/>
        </w:rPr>
        <w:t>I</w:t>
      </w:r>
      <w:r w:rsidRPr="004F1109">
        <w:rPr>
          <w:rFonts w:asciiTheme="minorHAnsi" w:hAnsiTheme="minorHAnsi" w:cstheme="minorHAnsi"/>
          <w:b/>
          <w:bCs/>
          <w:sz w:val="24"/>
          <w:szCs w:val="24"/>
        </w:rPr>
        <w:t>I</w:t>
      </w:r>
      <w:r w:rsidRPr="004F1109">
        <w:rPr>
          <w:rFonts w:asciiTheme="minorHAnsi" w:hAnsiTheme="minorHAnsi" w:cstheme="minorHAnsi"/>
          <w:sz w:val="24"/>
          <w:szCs w:val="24"/>
        </w:rPr>
        <w:t xml:space="preserve">, no caso de esta empresa ter desembaraçado importações, </w:t>
      </w:r>
      <w:r w:rsidRPr="004F1109">
        <w:rPr>
          <w:rFonts w:asciiTheme="minorHAnsi" w:hAnsiTheme="minorHAnsi" w:cstheme="minorHAnsi"/>
          <w:b/>
          <w:sz w:val="24"/>
          <w:szCs w:val="24"/>
        </w:rPr>
        <w:t xml:space="preserve">de </w:t>
      </w:r>
      <w:r w:rsidR="008D74A5" w:rsidRPr="004F1109">
        <w:rPr>
          <w:rFonts w:asciiTheme="minorHAnsi" w:hAnsiTheme="minorHAnsi" w:cstheme="minorHAnsi"/>
          <w:b/>
          <w:sz w:val="24"/>
          <w:szCs w:val="24"/>
        </w:rPr>
        <w:t>janeiro de 2024 a dezembro de 2024</w:t>
      </w:r>
      <w:r w:rsidRPr="004F1109">
        <w:rPr>
          <w:rFonts w:asciiTheme="minorHAnsi" w:hAnsiTheme="minorHAnsi" w:cstheme="minorHAnsi"/>
          <w:b/>
          <w:sz w:val="24"/>
          <w:szCs w:val="24"/>
        </w:rPr>
        <w:t>,</w:t>
      </w:r>
      <w:r w:rsidRPr="004F1109">
        <w:rPr>
          <w:rFonts w:asciiTheme="minorHAnsi" w:hAnsiTheme="minorHAnsi" w:cstheme="minorHAnsi"/>
          <w:sz w:val="24"/>
          <w:szCs w:val="24"/>
        </w:rPr>
        <w:t xml:space="preserve"> de </w:t>
      </w:r>
      <w:r w:rsidR="008D74A5" w:rsidRPr="004F1109">
        <w:rPr>
          <w:rFonts w:asciiTheme="minorHAnsi" w:hAnsiTheme="minorHAnsi" w:cstheme="minorHAnsi"/>
          <w:sz w:val="24"/>
          <w:szCs w:val="24"/>
        </w:rPr>
        <w:t>SAPP</w:t>
      </w:r>
      <w:r w:rsidRPr="004F1109">
        <w:rPr>
          <w:rFonts w:asciiTheme="minorHAnsi" w:hAnsiTheme="minorHAnsi" w:cstheme="minorHAnsi"/>
          <w:b/>
          <w:sz w:val="24"/>
          <w:szCs w:val="24"/>
        </w:rPr>
        <w:t xml:space="preserve"> objeto da </w:t>
      </w:r>
      <w:r w:rsidR="00A12672" w:rsidRPr="004F1109">
        <w:rPr>
          <w:rFonts w:asciiTheme="minorHAnsi" w:hAnsiTheme="minorHAnsi" w:cstheme="minorHAnsi"/>
          <w:b/>
          <w:sz w:val="24"/>
          <w:szCs w:val="24"/>
        </w:rPr>
        <w:t>revisão</w:t>
      </w:r>
      <w:r w:rsidRPr="004F1109">
        <w:rPr>
          <w:rFonts w:asciiTheme="minorHAnsi" w:hAnsiTheme="minorHAnsi" w:cstheme="minorHAnsi"/>
          <w:sz w:val="24"/>
          <w:szCs w:val="24"/>
        </w:rPr>
        <w:t xml:space="preserve">, comumente classificados(as) no(s) </w:t>
      </w:r>
      <w:r w:rsidR="009D2B3C" w:rsidRPr="004F1109">
        <w:rPr>
          <w:rFonts w:asciiTheme="minorHAnsi" w:hAnsiTheme="minorHAnsi" w:cstheme="minorHAnsi"/>
          <w:sz w:val="24"/>
          <w:szCs w:val="24"/>
        </w:rPr>
        <w:t>sub</w:t>
      </w:r>
      <w:r w:rsidRPr="004F1109">
        <w:rPr>
          <w:rFonts w:asciiTheme="minorHAnsi" w:hAnsiTheme="minorHAnsi" w:cstheme="minorHAnsi"/>
          <w:sz w:val="24"/>
          <w:szCs w:val="24"/>
        </w:rPr>
        <w:t xml:space="preserve">item(ns) </w:t>
      </w:r>
      <w:r w:rsidR="004D15C8" w:rsidRPr="004F1109">
        <w:rPr>
          <w:rFonts w:asciiTheme="minorHAnsi" w:hAnsiTheme="minorHAnsi" w:cstheme="minorHAnsi"/>
          <w:sz w:val="24"/>
          <w:szCs w:val="24"/>
        </w:rPr>
        <w:t xml:space="preserve">2835.39.20 </w:t>
      </w:r>
      <w:r w:rsidRPr="004F1109">
        <w:rPr>
          <w:rFonts w:asciiTheme="minorHAnsi" w:hAnsiTheme="minorHAnsi" w:cstheme="minorHAnsi"/>
          <w:sz w:val="24"/>
          <w:szCs w:val="24"/>
        </w:rPr>
        <w:t xml:space="preserve">da NCM e </w:t>
      </w:r>
      <w:r w:rsidRPr="004F1109">
        <w:rPr>
          <w:rFonts w:asciiTheme="minorHAnsi" w:hAnsiTheme="minorHAnsi" w:cstheme="minorHAnsi"/>
          <w:bCs/>
          <w:sz w:val="24"/>
          <w:szCs w:val="24"/>
        </w:rPr>
        <w:t xml:space="preserve">originárias </w:t>
      </w:r>
      <w:r w:rsidRPr="004F1109">
        <w:rPr>
          <w:rFonts w:asciiTheme="minorHAnsi" w:hAnsiTheme="minorHAnsi" w:cstheme="minorHAnsi"/>
          <w:sz w:val="24"/>
          <w:szCs w:val="24"/>
        </w:rPr>
        <w:t>do(a)</w:t>
      </w:r>
      <w:r w:rsidRPr="004F1109">
        <w:rPr>
          <w:rFonts w:asciiTheme="minorHAnsi" w:hAnsiTheme="minorHAnsi" w:cstheme="minorHAnsi"/>
          <w:b/>
          <w:sz w:val="24"/>
          <w:szCs w:val="24"/>
        </w:rPr>
        <w:t xml:space="preserve"> </w:t>
      </w:r>
      <w:r w:rsidR="004D15C8" w:rsidRPr="004F1109">
        <w:rPr>
          <w:rFonts w:asciiTheme="minorHAnsi" w:hAnsiTheme="minorHAnsi" w:cstheme="minorHAnsi"/>
          <w:b/>
          <w:sz w:val="24"/>
          <w:szCs w:val="24"/>
        </w:rPr>
        <w:t>Canadá, China e EUA</w:t>
      </w:r>
      <w:r w:rsidRPr="004F1109">
        <w:rPr>
          <w:rFonts w:asciiTheme="minorHAnsi" w:hAnsiTheme="minorHAnsi" w:cstheme="minorHAnsi"/>
          <w:b/>
          <w:sz w:val="24"/>
          <w:szCs w:val="24"/>
        </w:rPr>
        <w:t>.</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lastRenderedPageBreak/>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3BE56645" w14:textId="77777777" w:rsidR="003F5246" w:rsidRPr="004F1109" w:rsidRDefault="003F5246" w:rsidP="004F1109">
      <w:pPr>
        <w:rPr>
          <w:rFonts w:asciiTheme="minorHAnsi" w:hAnsiTheme="minorHAnsi" w:cstheme="minorHAnsi"/>
          <w:iCs/>
          <w:color w:val="FF0000"/>
          <w:sz w:val="24"/>
          <w:szCs w:val="24"/>
          <w:highlight w:val="lightGray"/>
        </w:rPr>
      </w:pPr>
    </w:p>
    <w:p w14:paraId="615519E2" w14:textId="722B3CCB" w:rsidR="00244A00" w:rsidRPr="00010A14" w:rsidRDefault="00244A00" w:rsidP="00A01D5C">
      <w:pPr>
        <w:ind w:left="-142" w:right="-199"/>
        <w:jc w:val="both"/>
        <w:rPr>
          <w:rFonts w:asciiTheme="minorHAnsi" w:hAnsiTheme="minorHAnsi" w:cstheme="minorHAnsi"/>
          <w:b/>
          <w:sz w:val="24"/>
          <w:szCs w:val="24"/>
        </w:rPr>
      </w:pPr>
      <w:r w:rsidRPr="00010A14">
        <w:rPr>
          <w:rFonts w:asciiTheme="minorHAnsi" w:hAnsiTheme="minorHAnsi" w:cstheme="minorHAnsi"/>
          <w:sz w:val="24"/>
          <w:szCs w:val="24"/>
        </w:rPr>
        <w:t>13.</w:t>
      </w:r>
      <w:r w:rsidRPr="00010A14">
        <w:rPr>
          <w:rFonts w:asciiTheme="minorHAnsi" w:hAnsiTheme="minorHAnsi" w:cstheme="minorHAnsi"/>
          <w:sz w:val="24"/>
          <w:szCs w:val="24"/>
        </w:rPr>
        <w:tab/>
        <w:t xml:space="preserve">Preencher o </w:t>
      </w:r>
      <w:r w:rsidRPr="00010A14">
        <w:rPr>
          <w:rFonts w:asciiTheme="minorHAnsi" w:hAnsiTheme="minorHAnsi" w:cstheme="minorHAnsi"/>
          <w:b/>
          <w:bCs/>
          <w:sz w:val="24"/>
          <w:szCs w:val="24"/>
        </w:rPr>
        <w:t xml:space="preserve">Apêndice </w:t>
      </w:r>
      <w:r w:rsidR="00372DFA" w:rsidRPr="00010A14">
        <w:rPr>
          <w:rFonts w:asciiTheme="minorHAnsi" w:hAnsiTheme="minorHAnsi" w:cstheme="minorHAnsi"/>
          <w:b/>
          <w:bCs/>
          <w:sz w:val="24"/>
          <w:szCs w:val="24"/>
        </w:rPr>
        <w:t>XV</w:t>
      </w:r>
      <w:r w:rsidRPr="00010A14">
        <w:rPr>
          <w:rFonts w:asciiTheme="minorHAnsi" w:hAnsiTheme="minorHAnsi" w:cstheme="minorHAnsi"/>
          <w:b/>
          <w:bCs/>
          <w:sz w:val="24"/>
          <w:szCs w:val="24"/>
        </w:rPr>
        <w:t>I</w:t>
      </w:r>
      <w:r w:rsidR="0006596D" w:rsidRPr="00010A14">
        <w:rPr>
          <w:rFonts w:asciiTheme="minorHAnsi" w:hAnsiTheme="minorHAnsi" w:cstheme="minorHAnsi"/>
          <w:b/>
          <w:bCs/>
          <w:sz w:val="24"/>
          <w:szCs w:val="24"/>
        </w:rPr>
        <w:t>I</w:t>
      </w:r>
      <w:r w:rsidRPr="00010A14">
        <w:rPr>
          <w:rFonts w:asciiTheme="minorHAnsi" w:hAnsiTheme="minorHAnsi" w:cstheme="minorHAnsi"/>
          <w:b/>
          <w:bCs/>
          <w:sz w:val="24"/>
          <w:szCs w:val="24"/>
        </w:rPr>
        <w:t>I</w:t>
      </w:r>
      <w:r w:rsidRPr="00010A14">
        <w:rPr>
          <w:rFonts w:asciiTheme="minorHAnsi" w:hAnsiTheme="minorHAnsi" w:cstheme="minorHAnsi"/>
          <w:sz w:val="24"/>
          <w:szCs w:val="24"/>
        </w:rPr>
        <w:t xml:space="preserve">, no caso desta empresa ter desembaraçado importações, </w:t>
      </w:r>
      <w:r w:rsidRPr="00010A14">
        <w:rPr>
          <w:rFonts w:asciiTheme="minorHAnsi" w:hAnsiTheme="minorHAnsi" w:cstheme="minorHAnsi"/>
          <w:b/>
          <w:sz w:val="24"/>
          <w:szCs w:val="24"/>
        </w:rPr>
        <w:t xml:space="preserve">de </w:t>
      </w:r>
      <w:r w:rsidR="00713E7A" w:rsidRPr="00010A14">
        <w:rPr>
          <w:rFonts w:asciiTheme="minorHAnsi" w:hAnsiTheme="minorHAnsi" w:cstheme="minorHAnsi"/>
          <w:b/>
          <w:sz w:val="24"/>
          <w:szCs w:val="24"/>
        </w:rPr>
        <w:t>JANEIRO DE 2020 a DEZEMBRO DE 2023</w:t>
      </w:r>
      <w:r w:rsidRPr="00010A14">
        <w:rPr>
          <w:rFonts w:asciiTheme="minorHAnsi" w:hAnsiTheme="minorHAnsi" w:cstheme="minorHAnsi"/>
          <w:b/>
          <w:sz w:val="24"/>
          <w:szCs w:val="24"/>
        </w:rPr>
        <w:t>,</w:t>
      </w:r>
      <w:r w:rsidRPr="00010A14">
        <w:rPr>
          <w:rFonts w:asciiTheme="minorHAnsi" w:hAnsiTheme="minorHAnsi" w:cstheme="minorHAnsi"/>
          <w:sz w:val="24"/>
          <w:szCs w:val="24"/>
        </w:rPr>
        <w:t xml:space="preserve"> de </w:t>
      </w:r>
      <w:r w:rsidR="00713E7A" w:rsidRPr="00010A14">
        <w:rPr>
          <w:rFonts w:asciiTheme="minorHAnsi" w:hAnsiTheme="minorHAnsi" w:cstheme="minorHAnsi"/>
          <w:b/>
          <w:sz w:val="24"/>
          <w:szCs w:val="24"/>
        </w:rPr>
        <w:t>SAPP</w:t>
      </w:r>
      <w:r w:rsidRPr="00010A14">
        <w:rPr>
          <w:rFonts w:asciiTheme="minorHAnsi" w:hAnsiTheme="minorHAnsi" w:cstheme="minorHAnsi"/>
          <w:b/>
          <w:sz w:val="24"/>
          <w:szCs w:val="24"/>
        </w:rPr>
        <w:t xml:space="preserve"> objeto da </w:t>
      </w:r>
      <w:r w:rsidR="00A12672" w:rsidRPr="00010A14">
        <w:rPr>
          <w:rFonts w:asciiTheme="minorHAnsi" w:hAnsiTheme="minorHAnsi" w:cstheme="minorHAnsi"/>
          <w:b/>
          <w:sz w:val="24"/>
          <w:szCs w:val="24"/>
        </w:rPr>
        <w:t>revisão</w:t>
      </w:r>
      <w:r w:rsidRPr="00010A14">
        <w:rPr>
          <w:rFonts w:asciiTheme="minorHAnsi" w:hAnsiTheme="minorHAnsi" w:cstheme="minorHAnsi"/>
          <w:sz w:val="24"/>
          <w:szCs w:val="24"/>
        </w:rPr>
        <w:t xml:space="preserve">, comumente classificados(as) no(s) </w:t>
      </w:r>
      <w:r w:rsidR="009D2B3C" w:rsidRPr="00010A14">
        <w:rPr>
          <w:rFonts w:asciiTheme="minorHAnsi" w:hAnsiTheme="minorHAnsi" w:cstheme="minorHAnsi"/>
          <w:sz w:val="24"/>
          <w:szCs w:val="24"/>
        </w:rPr>
        <w:t>sub</w:t>
      </w:r>
      <w:r w:rsidRPr="00010A14">
        <w:rPr>
          <w:rFonts w:asciiTheme="minorHAnsi" w:hAnsiTheme="minorHAnsi" w:cstheme="minorHAnsi"/>
          <w:sz w:val="24"/>
          <w:szCs w:val="24"/>
        </w:rPr>
        <w:t xml:space="preserve">item(ns) </w:t>
      </w:r>
      <w:r w:rsidR="001D5B07" w:rsidRPr="00010A14">
        <w:rPr>
          <w:rFonts w:asciiTheme="minorHAnsi" w:hAnsiTheme="minorHAnsi" w:cstheme="minorHAnsi"/>
          <w:b/>
          <w:sz w:val="24"/>
          <w:szCs w:val="24"/>
        </w:rPr>
        <w:t xml:space="preserve">2835.39.20 </w:t>
      </w:r>
      <w:r w:rsidRPr="00010A14">
        <w:rPr>
          <w:rFonts w:asciiTheme="minorHAnsi" w:hAnsiTheme="minorHAnsi" w:cstheme="minorHAnsi"/>
          <w:sz w:val="24"/>
          <w:szCs w:val="24"/>
        </w:rPr>
        <w:t xml:space="preserve">da NCM e </w:t>
      </w:r>
      <w:r w:rsidRPr="00010A14">
        <w:rPr>
          <w:rFonts w:asciiTheme="minorHAnsi" w:hAnsiTheme="minorHAnsi" w:cstheme="minorHAnsi"/>
          <w:bCs/>
          <w:sz w:val="24"/>
          <w:szCs w:val="24"/>
        </w:rPr>
        <w:t xml:space="preserve">originárias </w:t>
      </w:r>
      <w:r w:rsidRPr="00010A14">
        <w:rPr>
          <w:rFonts w:asciiTheme="minorHAnsi" w:hAnsiTheme="minorHAnsi" w:cstheme="minorHAnsi"/>
          <w:sz w:val="24"/>
          <w:szCs w:val="24"/>
        </w:rPr>
        <w:t>do(a)</w:t>
      </w:r>
      <w:r w:rsidRPr="00010A14">
        <w:rPr>
          <w:rFonts w:asciiTheme="minorHAnsi" w:hAnsiTheme="minorHAnsi" w:cstheme="minorHAnsi"/>
          <w:b/>
          <w:sz w:val="24"/>
          <w:szCs w:val="24"/>
        </w:rPr>
        <w:t xml:space="preserve"> </w:t>
      </w:r>
      <w:r w:rsidR="00010A14" w:rsidRPr="00010A14">
        <w:rPr>
          <w:rFonts w:asciiTheme="minorHAnsi" w:hAnsiTheme="minorHAnsi" w:cstheme="minorHAnsi"/>
          <w:b/>
          <w:sz w:val="24"/>
          <w:szCs w:val="24"/>
        </w:rPr>
        <w:t>Canadá, China e EUA</w:t>
      </w:r>
      <w:r w:rsidRPr="00010A14">
        <w:rPr>
          <w:rFonts w:asciiTheme="minorHAnsi" w:hAnsiTheme="minorHAnsi" w:cstheme="minorHAnsi"/>
          <w:b/>
          <w:sz w:val="24"/>
          <w:szCs w:val="24"/>
        </w:rPr>
        <w:t>.</w:t>
      </w:r>
    </w:p>
    <w:p w14:paraId="18CED749" w14:textId="77777777" w:rsidR="00244A00" w:rsidRPr="008C6478" w:rsidRDefault="00244A00" w:rsidP="00244A00">
      <w:pPr>
        <w:pStyle w:val="Recuodecorpodetexto3"/>
        <w:ind w:left="-142" w:right="-199"/>
        <w:rPr>
          <w:rFonts w:asciiTheme="minorHAnsi" w:hAnsiTheme="minorHAnsi" w:cstheme="minorHAnsi"/>
          <w:b/>
          <w:sz w:val="24"/>
          <w:szCs w:val="24"/>
          <w:highlight w:val="lightGray"/>
        </w:rPr>
      </w:pPr>
    </w:p>
    <w:p w14:paraId="5225B960" w14:textId="77777777" w:rsidR="00244A00" w:rsidRPr="00010A14" w:rsidRDefault="00244A00" w:rsidP="00A01D5C">
      <w:pPr>
        <w:ind w:left="-142" w:right="-199"/>
        <w:jc w:val="both"/>
        <w:rPr>
          <w:rFonts w:asciiTheme="minorHAnsi" w:hAnsiTheme="minorHAnsi" w:cstheme="minorHAnsi"/>
          <w:b/>
          <w:sz w:val="24"/>
          <w:szCs w:val="24"/>
        </w:rPr>
      </w:pPr>
      <w:r w:rsidRPr="00010A14">
        <w:rPr>
          <w:rFonts w:asciiTheme="minorHAnsi" w:hAnsiTheme="minorHAnsi" w:cstheme="minorHAnsi"/>
          <w:sz w:val="24"/>
          <w:szCs w:val="24"/>
        </w:rPr>
        <w:t>14.</w:t>
      </w:r>
      <w:r w:rsidRPr="00010A14">
        <w:rPr>
          <w:rFonts w:asciiTheme="minorHAnsi" w:hAnsiTheme="minorHAnsi" w:cstheme="minorHAnsi"/>
          <w:sz w:val="24"/>
          <w:szCs w:val="24"/>
        </w:rPr>
        <w:tab/>
        <w:t xml:space="preserve">O preenchimento dos campos do </w:t>
      </w:r>
      <w:r w:rsidRPr="00010A14">
        <w:rPr>
          <w:rFonts w:asciiTheme="minorHAnsi" w:hAnsiTheme="minorHAnsi" w:cstheme="minorHAnsi"/>
          <w:b/>
          <w:sz w:val="24"/>
          <w:szCs w:val="24"/>
        </w:rPr>
        <w:t xml:space="preserve">Apêndice </w:t>
      </w:r>
      <w:r w:rsidR="00372DFA" w:rsidRPr="00010A14">
        <w:rPr>
          <w:rFonts w:asciiTheme="minorHAnsi" w:hAnsiTheme="minorHAnsi" w:cstheme="minorHAnsi"/>
          <w:b/>
          <w:sz w:val="24"/>
          <w:szCs w:val="24"/>
        </w:rPr>
        <w:t>XV</w:t>
      </w:r>
      <w:r w:rsidRPr="00010A14">
        <w:rPr>
          <w:rFonts w:asciiTheme="minorHAnsi" w:hAnsiTheme="minorHAnsi" w:cstheme="minorHAnsi"/>
          <w:b/>
          <w:sz w:val="24"/>
          <w:szCs w:val="24"/>
        </w:rPr>
        <w:t>I</w:t>
      </w:r>
      <w:r w:rsidR="0006596D" w:rsidRPr="00010A14">
        <w:rPr>
          <w:rFonts w:asciiTheme="minorHAnsi" w:hAnsiTheme="minorHAnsi" w:cstheme="minorHAnsi"/>
          <w:b/>
          <w:sz w:val="24"/>
          <w:szCs w:val="24"/>
        </w:rPr>
        <w:t>I</w:t>
      </w:r>
      <w:r w:rsidRPr="00010A14">
        <w:rPr>
          <w:rFonts w:asciiTheme="minorHAnsi" w:hAnsiTheme="minorHAnsi" w:cstheme="minorHAnsi"/>
          <w:b/>
          <w:sz w:val="24"/>
          <w:szCs w:val="24"/>
        </w:rPr>
        <w:t xml:space="preserve">I </w:t>
      </w:r>
      <w:r w:rsidRPr="00010A14">
        <w:rPr>
          <w:rFonts w:asciiTheme="minorHAnsi" w:hAnsiTheme="minorHAnsi" w:cstheme="minorHAnsi"/>
          <w:sz w:val="24"/>
          <w:szCs w:val="24"/>
        </w:rPr>
        <w:t>deverá ser realizado em conformidade com as instruções abaixo</w:t>
      </w:r>
      <w:r w:rsidRPr="00010A14">
        <w:rPr>
          <w:rFonts w:asciiTheme="minorHAnsi" w:hAnsiTheme="minorHAnsi" w:cstheme="minorHAnsi"/>
          <w:b/>
          <w:sz w:val="24"/>
          <w:szCs w:val="24"/>
        </w:rPr>
        <w:t>.</w:t>
      </w:r>
    </w:p>
    <w:p w14:paraId="0C457803" w14:textId="77777777" w:rsidR="00244A00" w:rsidRPr="00010A14" w:rsidRDefault="00244A00" w:rsidP="00244A00">
      <w:pPr>
        <w:pStyle w:val="Recuodecorpodetexto3"/>
        <w:ind w:left="-142" w:right="-199"/>
        <w:rPr>
          <w:rFonts w:asciiTheme="minorHAnsi" w:hAnsiTheme="minorHAnsi" w:cstheme="minorHAnsi"/>
          <w:sz w:val="24"/>
          <w:szCs w:val="24"/>
        </w:rPr>
      </w:pPr>
    </w:p>
    <w:p w14:paraId="6019C04A" w14:textId="77777777" w:rsidR="00244A00" w:rsidRPr="00010A14" w:rsidRDefault="00244A00" w:rsidP="00244A00">
      <w:pPr>
        <w:pStyle w:val="Recuodecorpodetexto3"/>
        <w:widowControl/>
        <w:numPr>
          <w:ilvl w:val="0"/>
          <w:numId w:val="39"/>
        </w:numPr>
        <w:ind w:right="-199"/>
        <w:rPr>
          <w:rFonts w:asciiTheme="minorHAnsi" w:hAnsiTheme="minorHAnsi" w:cstheme="minorHAnsi"/>
          <w:b/>
          <w:sz w:val="24"/>
          <w:szCs w:val="24"/>
        </w:rPr>
      </w:pPr>
      <w:r w:rsidRPr="00010A14">
        <w:rPr>
          <w:rFonts w:asciiTheme="minorHAnsi" w:hAnsiTheme="minorHAnsi" w:cstheme="minorHAnsi"/>
          <w:sz w:val="24"/>
          <w:szCs w:val="24"/>
        </w:rPr>
        <w:t xml:space="preserve">Os campos </w:t>
      </w:r>
      <w:r w:rsidRPr="00010A14">
        <w:rPr>
          <w:rFonts w:asciiTheme="minorHAnsi" w:hAnsiTheme="minorHAnsi" w:cstheme="minorHAnsi"/>
          <w:iCs/>
          <w:sz w:val="24"/>
          <w:szCs w:val="24"/>
        </w:rPr>
        <w:t>n</w:t>
      </w:r>
      <w:r w:rsidRPr="00010A14">
        <w:rPr>
          <w:rFonts w:asciiTheme="minorHAnsi" w:hAnsiTheme="minorHAnsi" w:cstheme="minorHAnsi"/>
          <w:iCs/>
          <w:sz w:val="24"/>
          <w:szCs w:val="24"/>
          <w:u w:val="single"/>
          <w:vertAlign w:val="superscript"/>
        </w:rPr>
        <w:t>os</w:t>
      </w:r>
      <w:r w:rsidRPr="00010A14">
        <w:rPr>
          <w:rFonts w:asciiTheme="minorHAnsi" w:hAnsiTheme="minorHAnsi" w:cstheme="minorHAnsi"/>
          <w:iCs/>
          <w:sz w:val="24"/>
          <w:szCs w:val="24"/>
        </w:rPr>
        <w:t xml:space="preserve"> 01 a 05 deverão ser preenchidos de acordo com os documentos utilizados no desembaraço da mercadoria.</w:t>
      </w:r>
    </w:p>
    <w:p w14:paraId="56F2AF5F" w14:textId="77777777" w:rsidR="00244A00" w:rsidRPr="00010A14" w:rsidRDefault="00244A00" w:rsidP="00244A00">
      <w:pPr>
        <w:pStyle w:val="Recuodecorpodetexto3"/>
        <w:ind w:right="-199"/>
        <w:rPr>
          <w:rFonts w:asciiTheme="minorHAnsi" w:hAnsiTheme="minorHAnsi" w:cstheme="minorHAnsi"/>
          <w:b/>
          <w:sz w:val="24"/>
          <w:szCs w:val="24"/>
        </w:rPr>
      </w:pPr>
    </w:p>
    <w:p w14:paraId="373EBD35" w14:textId="77777777" w:rsidR="00244A00" w:rsidRPr="00010A14" w:rsidRDefault="00244A00" w:rsidP="00244A00">
      <w:pPr>
        <w:pStyle w:val="Recuodecorpodetexto3"/>
        <w:widowControl/>
        <w:numPr>
          <w:ilvl w:val="0"/>
          <w:numId w:val="39"/>
        </w:numPr>
        <w:ind w:right="-199"/>
        <w:rPr>
          <w:rFonts w:asciiTheme="minorHAnsi" w:hAnsiTheme="minorHAnsi" w:cstheme="minorHAnsi"/>
          <w:b/>
          <w:sz w:val="24"/>
          <w:szCs w:val="24"/>
        </w:rPr>
      </w:pPr>
      <w:r w:rsidRPr="00010A14">
        <w:rPr>
          <w:rFonts w:asciiTheme="minorHAnsi" w:hAnsiTheme="minorHAnsi" w:cstheme="minorHAnsi"/>
          <w:sz w:val="24"/>
          <w:szCs w:val="24"/>
        </w:rPr>
        <w:t xml:space="preserve">O campo </w:t>
      </w:r>
      <w:r w:rsidRPr="00010A14">
        <w:rPr>
          <w:rFonts w:asciiTheme="minorHAnsi" w:hAnsiTheme="minorHAnsi" w:cstheme="minorHAnsi"/>
          <w:iCs/>
          <w:sz w:val="24"/>
          <w:szCs w:val="24"/>
        </w:rPr>
        <w:t>n</w:t>
      </w:r>
      <w:r w:rsidRPr="00010A14">
        <w:rPr>
          <w:rFonts w:asciiTheme="minorHAnsi" w:hAnsiTheme="minorHAnsi" w:cstheme="minorHAnsi"/>
          <w:iCs/>
          <w:sz w:val="24"/>
          <w:szCs w:val="24"/>
          <w:u w:val="single"/>
          <w:vertAlign w:val="superscript"/>
        </w:rPr>
        <w:t>o</w:t>
      </w:r>
      <w:r w:rsidRPr="00010A14">
        <w:rPr>
          <w:rFonts w:asciiTheme="minorHAnsi" w:hAnsiTheme="minorHAnsi" w:cstheme="minorHAnsi"/>
          <w:iCs/>
          <w:sz w:val="24"/>
          <w:szCs w:val="24"/>
        </w:rPr>
        <w:t xml:space="preserve"> 06 deve ser preenchido de acordo com a instrução “c” de preenchimento do </w:t>
      </w:r>
      <w:r w:rsidRPr="00010A14">
        <w:rPr>
          <w:rFonts w:asciiTheme="minorHAnsi" w:hAnsiTheme="minorHAnsi" w:cstheme="minorHAnsi"/>
          <w:b/>
          <w:iCs/>
          <w:sz w:val="24"/>
          <w:szCs w:val="24"/>
        </w:rPr>
        <w:t xml:space="preserve">Apêndice </w:t>
      </w:r>
      <w:r w:rsidR="001573B3" w:rsidRPr="00010A14">
        <w:rPr>
          <w:rFonts w:asciiTheme="minorHAnsi" w:hAnsiTheme="minorHAnsi" w:cstheme="minorHAnsi"/>
          <w:b/>
          <w:iCs/>
          <w:sz w:val="24"/>
          <w:szCs w:val="24"/>
        </w:rPr>
        <w:t>XV</w:t>
      </w:r>
      <w:r w:rsidR="0006596D" w:rsidRPr="00010A14">
        <w:rPr>
          <w:rFonts w:asciiTheme="minorHAnsi" w:hAnsiTheme="minorHAnsi" w:cstheme="minorHAnsi"/>
          <w:b/>
          <w:iCs/>
          <w:sz w:val="24"/>
          <w:szCs w:val="24"/>
        </w:rPr>
        <w:t>I</w:t>
      </w:r>
      <w:r w:rsidRPr="00010A14">
        <w:rPr>
          <w:rFonts w:asciiTheme="minorHAnsi" w:hAnsiTheme="minorHAnsi" w:cstheme="minorHAnsi"/>
          <w:b/>
          <w:iCs/>
          <w:sz w:val="24"/>
          <w:szCs w:val="24"/>
        </w:rPr>
        <w:t>I</w:t>
      </w:r>
      <w:r w:rsidRPr="00010A14">
        <w:rPr>
          <w:rFonts w:asciiTheme="minorHAnsi" w:hAnsiTheme="minorHAnsi" w:cstheme="minorHAnsi"/>
          <w:iCs/>
          <w:sz w:val="24"/>
          <w:szCs w:val="24"/>
        </w:rPr>
        <w:t>.</w:t>
      </w:r>
    </w:p>
    <w:p w14:paraId="7CED7118" w14:textId="77777777" w:rsidR="00244A00" w:rsidRPr="008C6478" w:rsidRDefault="00244A00" w:rsidP="00244A00">
      <w:pPr>
        <w:pStyle w:val="Recuodecorpodetexto3"/>
        <w:ind w:right="-199"/>
        <w:rPr>
          <w:rFonts w:asciiTheme="minorHAnsi" w:hAnsiTheme="minorHAnsi" w:cstheme="minorHAnsi"/>
          <w:b/>
          <w:sz w:val="24"/>
          <w:szCs w:val="24"/>
        </w:rPr>
      </w:pPr>
    </w:p>
    <w:p w14:paraId="3C189390" w14:textId="75B2E393"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5</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No caso de revenda no mercado interno do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importado por essa empresa, originárias do(a) </w:t>
      </w:r>
      <w:r w:rsidR="00010A14" w:rsidRPr="00010A14">
        <w:rPr>
          <w:rFonts w:asciiTheme="minorHAnsi" w:hAnsiTheme="minorHAnsi" w:cstheme="minorHAnsi"/>
          <w:b/>
          <w:sz w:val="24"/>
          <w:szCs w:val="24"/>
        </w:rPr>
        <w:t>Canadá, China e EUA</w:t>
      </w:r>
      <w:r w:rsidRPr="008C6478">
        <w:rPr>
          <w:rFonts w:asciiTheme="minorHAnsi" w:hAnsiTheme="minorHAnsi" w:cstheme="minorHAnsi"/>
          <w:sz w:val="24"/>
          <w:szCs w:val="24"/>
        </w:rPr>
        <w:t xml:space="preserve"> preencher 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para as revendas realizadas de </w:t>
      </w:r>
      <w:r w:rsidR="00010A14" w:rsidRPr="00010A14">
        <w:rPr>
          <w:rFonts w:asciiTheme="minorHAnsi" w:hAnsiTheme="minorHAnsi" w:cstheme="minorHAnsi"/>
          <w:b/>
          <w:sz w:val="24"/>
          <w:szCs w:val="24"/>
        </w:rPr>
        <w:t>JANEIRO DE 2020 a DEZEMBRO DE 202</w:t>
      </w:r>
      <w:r w:rsidR="00010A14">
        <w:rPr>
          <w:rFonts w:asciiTheme="minorHAnsi" w:hAnsiTheme="minorHAnsi" w:cstheme="minorHAnsi"/>
          <w:b/>
          <w:sz w:val="24"/>
          <w:szCs w:val="24"/>
        </w:rPr>
        <w:t>4</w:t>
      </w:r>
      <w:r w:rsidR="00010A14" w:rsidRPr="00010A14">
        <w:rPr>
          <w:rFonts w:asciiTheme="minorHAnsi" w:hAnsiTheme="minorHAnsi" w:cstheme="minorHAnsi"/>
          <w:bCs/>
          <w:sz w:val="24"/>
          <w:szCs w:val="24"/>
        </w:rPr>
        <w:t>.</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6C5DAD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econômico, etc.) entre essa empresa e algum produtor /exportador estrangeiro do(a) </w:t>
      </w:r>
      <w:r w:rsidR="00010A14" w:rsidRPr="00010A14">
        <w:rPr>
          <w:rFonts w:asciiTheme="minorHAnsi" w:hAnsiTheme="minorHAnsi" w:cstheme="minorHAnsi"/>
          <w:b/>
          <w:sz w:val="24"/>
          <w:szCs w:val="24"/>
        </w:rPr>
        <w:t>Canadá, China e EUA</w:t>
      </w:r>
      <w:r w:rsidRPr="008C6478">
        <w:rPr>
          <w:rFonts w:asciiTheme="minorHAnsi" w:hAnsiTheme="minorHAnsi" w:cstheme="minorHAnsi"/>
          <w:b/>
          <w:color w:val="FF0000"/>
          <w:sz w:val="24"/>
          <w:szCs w:val="24"/>
        </w:rPr>
        <w:t xml:space="preserve"> </w:t>
      </w:r>
      <w:r w:rsidRPr="008C6478">
        <w:rPr>
          <w:rFonts w:asciiTheme="minorHAnsi" w:hAnsiTheme="minorHAnsi" w:cstheme="minorHAnsi"/>
          <w:sz w:val="24"/>
          <w:szCs w:val="24"/>
        </w:rPr>
        <w:t xml:space="preserve">do produto 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os códigos comerciais utilizados por sua empresa no curso normal das operações de venda do produto em questão.</w:t>
      </w:r>
    </w:p>
    <w:p w14:paraId="2A7D620D" w14:textId="77777777" w:rsidR="003C48DD" w:rsidRPr="008C6478" w:rsidRDefault="003C48DD" w:rsidP="00D95C12">
      <w:pPr>
        <w:pStyle w:val="Recuodecorpodetexto3"/>
        <w:ind w:right="-198" w:firstLine="0"/>
        <w:rPr>
          <w:rFonts w:asciiTheme="minorHAnsi" w:hAnsiTheme="minorHAnsi" w:cstheme="minorHAnsi"/>
          <w:sz w:val="24"/>
          <w:szCs w:val="24"/>
        </w:rPr>
      </w:pPr>
    </w:p>
    <w:p w14:paraId="1D7F5C6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04</w:t>
      </w:r>
      <w:r w:rsidRPr="008C6478">
        <w:rPr>
          <w:rFonts w:asciiTheme="minorHAnsi" w:hAnsiTheme="minorHAnsi" w:cstheme="minorHAnsi"/>
          <w:b/>
          <w:sz w:val="24"/>
          <w:szCs w:val="24"/>
        </w:rPr>
        <w:tab/>
      </w:r>
      <w:r w:rsidRPr="008C6478">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lastRenderedPageBreak/>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r w:rsidRPr="008C6478">
        <w:rPr>
          <w:rFonts w:asciiTheme="minorHAnsi" w:hAnsiTheme="minorHAnsi" w:cstheme="minorHAnsi"/>
          <w:b/>
          <w:sz w:val="24"/>
          <w:szCs w:val="24"/>
        </w:rPr>
        <w:t>ex fabrica</w:t>
      </w:r>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 xml:space="preserve">Indicar a fonte para determinar a data de pagamento. Caso não seja possível </w:t>
      </w:r>
      <w:r w:rsidR="00244A00" w:rsidRPr="008C6478">
        <w:rPr>
          <w:rFonts w:asciiTheme="minorHAnsi" w:hAnsiTheme="minorHAnsi" w:cstheme="minorHAnsi"/>
          <w:sz w:val="24"/>
          <w:szCs w:val="24"/>
        </w:rPr>
        <w:lastRenderedPageBreak/>
        <w:t>recuperar tal data, informar as razões para o não preenchimento do campo. Ainda, se uma fatura em particular não foi paga, deixar simplesmente o campo em branco.</w:t>
      </w:r>
    </w:p>
    <w:p w14:paraId="21DD155B" w14:textId="77777777" w:rsidR="00244A00" w:rsidRPr="008C6478" w:rsidRDefault="00244A00" w:rsidP="00244A00">
      <w:pPr>
        <w:pStyle w:val="Recuodecorpodetexto3"/>
        <w:ind w:left="-142" w:right="-198"/>
        <w:rPr>
          <w:rFonts w:asciiTheme="minorHAnsi" w:hAnsiTheme="minorHAnsi" w:cstheme="minorHAnsi"/>
          <w:sz w:val="24"/>
          <w:szCs w:val="24"/>
        </w:rPr>
      </w:pPr>
    </w:p>
    <w:p w14:paraId="398911FC" w14:textId="77777777" w:rsidR="00244A00" w:rsidRPr="00C64E00" w:rsidRDefault="00904965" w:rsidP="00904965">
      <w:pPr>
        <w:pStyle w:val="Recuodecorpodetexto3"/>
        <w:ind w:right="-198" w:firstLine="0"/>
        <w:rPr>
          <w:rFonts w:asciiTheme="minorHAnsi" w:hAnsiTheme="minorHAnsi" w:cstheme="minorHAnsi"/>
          <w:b/>
          <w:sz w:val="24"/>
          <w:szCs w:val="24"/>
        </w:rPr>
      </w:pPr>
      <w:r w:rsidRPr="00C64E00">
        <w:rPr>
          <w:rFonts w:asciiTheme="minorHAnsi" w:hAnsiTheme="minorHAnsi" w:cstheme="minorHAnsi"/>
          <w:b/>
          <w:sz w:val="24"/>
          <w:szCs w:val="24"/>
        </w:rPr>
        <w:t>Campo Nº 10.1</w:t>
      </w:r>
      <w:r w:rsidRPr="00C64E00">
        <w:rPr>
          <w:rFonts w:asciiTheme="minorHAnsi" w:hAnsiTheme="minorHAnsi" w:cstheme="minorHAnsi"/>
          <w:b/>
          <w:sz w:val="24"/>
          <w:szCs w:val="24"/>
        </w:rPr>
        <w:tab/>
      </w:r>
      <w:r w:rsidR="00244A00" w:rsidRPr="00C64E00">
        <w:rPr>
          <w:rFonts w:asciiTheme="minorHAnsi" w:hAnsiTheme="minorHAnsi" w:cstheme="minorHAnsi"/>
          <w:b/>
          <w:sz w:val="24"/>
          <w:szCs w:val="24"/>
        </w:rPr>
        <w:t>Quantidade (unidade informada, preferencialmente unidade de peso)</w:t>
      </w:r>
    </w:p>
    <w:p w14:paraId="5A83C6CA" w14:textId="7B57995A" w:rsidR="00904965" w:rsidRPr="00C64E00" w:rsidRDefault="00904965" w:rsidP="00904965">
      <w:pPr>
        <w:pStyle w:val="Recuodecorpodetexto3"/>
        <w:ind w:left="2127" w:right="-198" w:hanging="2269"/>
        <w:rPr>
          <w:rFonts w:asciiTheme="minorHAnsi" w:hAnsiTheme="minorHAnsi" w:cstheme="minorHAnsi"/>
          <w:sz w:val="24"/>
          <w:szCs w:val="24"/>
        </w:rPr>
      </w:pPr>
      <w:r w:rsidRPr="00C64E00">
        <w:rPr>
          <w:rFonts w:asciiTheme="minorHAnsi" w:hAnsiTheme="minorHAnsi" w:cstheme="minorHAnsi"/>
          <w:sz w:val="24"/>
          <w:szCs w:val="24"/>
        </w:rPr>
        <w:t xml:space="preserve">  </w:t>
      </w:r>
      <w:r w:rsidR="00244A00" w:rsidRPr="00C64E00">
        <w:rPr>
          <w:rFonts w:asciiTheme="minorHAnsi" w:hAnsiTheme="minorHAnsi" w:cstheme="minorHAnsi"/>
          <w:sz w:val="24"/>
          <w:szCs w:val="24"/>
        </w:rPr>
        <w:t>Observação:</w:t>
      </w:r>
      <w:r w:rsidR="00244A00" w:rsidRPr="00C64E00">
        <w:rPr>
          <w:rFonts w:asciiTheme="minorHAnsi" w:hAnsiTheme="minorHAnsi" w:cstheme="minorHAnsi"/>
          <w:sz w:val="24"/>
          <w:szCs w:val="24"/>
        </w:rPr>
        <w:tab/>
        <w:t xml:space="preserve">Informar a quantidade vendida (em preferencialmente unidade de peso: </w:t>
      </w:r>
      <w:r w:rsidR="00C64E00" w:rsidRPr="00C64E00">
        <w:rPr>
          <w:rFonts w:asciiTheme="minorHAnsi" w:hAnsiTheme="minorHAnsi" w:cstheme="minorHAnsi"/>
          <w:sz w:val="24"/>
          <w:szCs w:val="24"/>
        </w:rPr>
        <w:t>quilogramas</w:t>
      </w:r>
      <w:r w:rsidR="00244A00" w:rsidRPr="00C64E00">
        <w:rPr>
          <w:rFonts w:asciiTheme="minorHAnsi" w:hAnsiTheme="minorHAnsi" w:cstheme="minorHAnsi"/>
          <w:sz w:val="24"/>
          <w:szCs w:val="24"/>
        </w:rPr>
        <w:t>).</w:t>
      </w:r>
    </w:p>
    <w:p w14:paraId="0C6E0FD9" w14:textId="77777777" w:rsidR="00904965" w:rsidRPr="008C6478"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lastRenderedPageBreak/>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3" w:name="_Toc12161866"/>
      <w:bookmarkEnd w:id="13"/>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14E6B259"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2F0A7C">
        <w:rPr>
          <w:rFonts w:asciiTheme="minorHAnsi" w:hAnsiTheme="minorHAnsi" w:cstheme="minorHAnsi"/>
          <w:sz w:val="24"/>
          <w:szCs w:val="24"/>
        </w:rPr>
        <w:t>pelo DECOM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2E394F5A"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2F0A7C">
        <w:rPr>
          <w:rFonts w:asciiTheme="minorHAnsi" w:hAnsiTheme="minorHAnsi" w:cstheme="minorHAnsi"/>
          <w:sz w:val="24"/>
          <w:szCs w:val="24"/>
        </w:rPr>
        <w:t>o DECOM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C64E00">
      <w:pP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06C49B96" w14:textId="77777777" w:rsidR="000D0087" w:rsidRPr="008C6478" w:rsidRDefault="000D0087" w:rsidP="00C64E00">
      <w:pPr>
        <w:pStyle w:val="Recuodecorpodetexto3"/>
        <w:ind w:right="-198" w:firstLine="0"/>
        <w:rPr>
          <w:rFonts w:asciiTheme="minorHAnsi" w:hAnsiTheme="minorHAnsi" w:cstheme="minorHAnsi"/>
          <w:sz w:val="24"/>
          <w:szCs w:val="24"/>
        </w:rPr>
      </w:pPr>
    </w:p>
    <w:sectPr w:rsidR="000D0087" w:rsidRPr="008C6478" w:rsidSect="00AA6662">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A20F7" w14:textId="77777777" w:rsidR="0096370C" w:rsidRDefault="0096370C">
      <w:r>
        <w:separator/>
      </w:r>
    </w:p>
  </w:endnote>
  <w:endnote w:type="continuationSeparator" w:id="0">
    <w:p w14:paraId="6F6CF236" w14:textId="77777777" w:rsidR="0096370C" w:rsidRDefault="00963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5D399" w14:textId="77777777" w:rsidR="0096370C" w:rsidRDefault="0096370C">
      <w:r>
        <w:separator/>
      </w:r>
    </w:p>
  </w:footnote>
  <w:footnote w:type="continuationSeparator" w:id="0">
    <w:p w14:paraId="2C2725A2" w14:textId="77777777" w:rsidR="0096370C" w:rsidRDefault="0096370C">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3476B3"/>
    <w:multiLevelType w:val="hybridMultilevel"/>
    <w:tmpl w:val="9776F47C"/>
    <w:lvl w:ilvl="0" w:tplc="CCBCDAEE">
      <w:start w:val="1"/>
      <w:numFmt w:val="lowerRoman"/>
      <w:lvlText w:val="%1)"/>
      <w:lvlJc w:val="left"/>
      <w:pPr>
        <w:ind w:left="578" w:hanging="72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6"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7"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2"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85829104">
    <w:abstractNumId w:val="40"/>
  </w:num>
  <w:num w:numId="2" w16cid:durableId="590625543">
    <w:abstractNumId w:val="17"/>
  </w:num>
  <w:num w:numId="3" w16cid:durableId="1871138646">
    <w:abstractNumId w:val="15"/>
  </w:num>
  <w:num w:numId="4" w16cid:durableId="1190024507">
    <w:abstractNumId w:val="28"/>
  </w:num>
  <w:num w:numId="5" w16cid:durableId="1834488316">
    <w:abstractNumId w:val="1"/>
  </w:num>
  <w:num w:numId="6" w16cid:durableId="890922802">
    <w:abstractNumId w:val="16"/>
  </w:num>
  <w:num w:numId="7" w16cid:durableId="2115129787">
    <w:abstractNumId w:val="32"/>
  </w:num>
  <w:num w:numId="8" w16cid:durableId="526874793">
    <w:abstractNumId w:val="27"/>
  </w:num>
  <w:num w:numId="9" w16cid:durableId="89862040">
    <w:abstractNumId w:val="10"/>
  </w:num>
  <w:num w:numId="10" w16cid:durableId="795023618">
    <w:abstractNumId w:val="41"/>
  </w:num>
  <w:num w:numId="11" w16cid:durableId="1657026229">
    <w:abstractNumId w:val="2"/>
  </w:num>
  <w:num w:numId="12" w16cid:durableId="1052464177">
    <w:abstractNumId w:val="18"/>
  </w:num>
  <w:num w:numId="13" w16cid:durableId="1366755148">
    <w:abstractNumId w:val="21"/>
  </w:num>
  <w:num w:numId="14" w16cid:durableId="1261258635">
    <w:abstractNumId w:val="19"/>
  </w:num>
  <w:num w:numId="15" w16cid:durableId="843203855">
    <w:abstractNumId w:val="30"/>
  </w:num>
  <w:num w:numId="16" w16cid:durableId="1517769132">
    <w:abstractNumId w:val="14"/>
  </w:num>
  <w:num w:numId="17" w16cid:durableId="305015179">
    <w:abstractNumId w:val="33"/>
  </w:num>
  <w:num w:numId="18" w16cid:durableId="1484741316">
    <w:abstractNumId w:val="39"/>
  </w:num>
  <w:num w:numId="19" w16cid:durableId="537010730">
    <w:abstractNumId w:val="36"/>
  </w:num>
  <w:num w:numId="20" w16cid:durableId="245461734">
    <w:abstractNumId w:val="37"/>
  </w:num>
  <w:num w:numId="21" w16cid:durableId="1905604913">
    <w:abstractNumId w:val="29"/>
  </w:num>
  <w:num w:numId="22" w16cid:durableId="575941552">
    <w:abstractNumId w:val="34"/>
  </w:num>
  <w:num w:numId="23" w16cid:durableId="1462916238">
    <w:abstractNumId w:val="22"/>
  </w:num>
  <w:num w:numId="24" w16cid:durableId="1437603903">
    <w:abstractNumId w:val="23"/>
  </w:num>
  <w:num w:numId="25" w16cid:durableId="1643997271">
    <w:abstractNumId w:val="3"/>
  </w:num>
  <w:num w:numId="26" w16cid:durableId="1844397422">
    <w:abstractNumId w:val="4"/>
  </w:num>
  <w:num w:numId="27" w16cid:durableId="931742556">
    <w:abstractNumId w:val="12"/>
  </w:num>
  <w:num w:numId="28" w16cid:durableId="39717040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8797687">
    <w:abstractNumId w:val="24"/>
  </w:num>
  <w:num w:numId="30" w16cid:durableId="487137478">
    <w:abstractNumId w:val="20"/>
  </w:num>
  <w:num w:numId="31" w16cid:durableId="640228844">
    <w:abstractNumId w:val="8"/>
  </w:num>
  <w:num w:numId="32" w16cid:durableId="248121169">
    <w:abstractNumId w:val="6"/>
  </w:num>
  <w:num w:numId="33" w16cid:durableId="1172796991">
    <w:abstractNumId w:val="35"/>
  </w:num>
  <w:num w:numId="34" w16cid:durableId="433138880">
    <w:abstractNumId w:val="7"/>
  </w:num>
  <w:num w:numId="35" w16cid:durableId="1099718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1439913">
    <w:abstractNumId w:val="13"/>
  </w:num>
  <w:num w:numId="37" w16cid:durableId="1996030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1760369">
    <w:abstractNumId w:val="9"/>
  </w:num>
  <w:num w:numId="39" w16cid:durableId="2130345809">
    <w:abstractNumId w:val="31"/>
  </w:num>
  <w:num w:numId="40" w16cid:durableId="940144507">
    <w:abstractNumId w:val="38"/>
  </w:num>
  <w:num w:numId="41" w16cid:durableId="1115909126">
    <w:abstractNumId w:val="5"/>
  </w:num>
  <w:num w:numId="42" w16cid:durableId="1373965922">
    <w:abstractNumId w:val="11"/>
  </w:num>
  <w:num w:numId="43" w16cid:durableId="820586362">
    <w:abstractNumId w:val="0"/>
    <w:lvlOverride w:ilvl="0"/>
    <w:lvlOverride w:ilvl="1">
      <w:startOverride w:val="1"/>
    </w:lvlOverride>
    <w:lvlOverride w:ilvl="2"/>
    <w:lvlOverride w:ilvl="3"/>
    <w:lvlOverride w:ilvl="4"/>
    <w:lvlOverride w:ilvl="5"/>
    <w:lvlOverride w:ilvl="6"/>
    <w:lvlOverride w:ilvl="7"/>
    <w:lvlOverride w:ilvl="8"/>
  </w:num>
  <w:num w:numId="44" w16cid:durableId="947542876">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997882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0A14"/>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4D86"/>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EF9"/>
    <w:rsid w:val="00181FA7"/>
    <w:rsid w:val="0018401E"/>
    <w:rsid w:val="00185986"/>
    <w:rsid w:val="0019192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C6BF2"/>
    <w:rsid w:val="001D5B07"/>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8D1"/>
    <w:rsid w:val="00206A2E"/>
    <w:rsid w:val="002073E2"/>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77484"/>
    <w:rsid w:val="00281537"/>
    <w:rsid w:val="00283F07"/>
    <w:rsid w:val="00286B42"/>
    <w:rsid w:val="0028701D"/>
    <w:rsid w:val="00291011"/>
    <w:rsid w:val="00291252"/>
    <w:rsid w:val="00292EFD"/>
    <w:rsid w:val="00296681"/>
    <w:rsid w:val="002A1872"/>
    <w:rsid w:val="002A1965"/>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5B2"/>
    <w:rsid w:val="002E27AC"/>
    <w:rsid w:val="002E27B5"/>
    <w:rsid w:val="002E3652"/>
    <w:rsid w:val="002E3E4D"/>
    <w:rsid w:val="002E5591"/>
    <w:rsid w:val="002F0A7C"/>
    <w:rsid w:val="002F2469"/>
    <w:rsid w:val="002F41CB"/>
    <w:rsid w:val="002F528A"/>
    <w:rsid w:val="002F6762"/>
    <w:rsid w:val="00302B9D"/>
    <w:rsid w:val="0030329C"/>
    <w:rsid w:val="003034DF"/>
    <w:rsid w:val="00307EA9"/>
    <w:rsid w:val="003127C1"/>
    <w:rsid w:val="003148DB"/>
    <w:rsid w:val="00314A50"/>
    <w:rsid w:val="00315995"/>
    <w:rsid w:val="00316CE1"/>
    <w:rsid w:val="00321560"/>
    <w:rsid w:val="0032320E"/>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48DD"/>
    <w:rsid w:val="003C772A"/>
    <w:rsid w:val="003D1255"/>
    <w:rsid w:val="003D1780"/>
    <w:rsid w:val="003D2B97"/>
    <w:rsid w:val="003D41E9"/>
    <w:rsid w:val="003D43D9"/>
    <w:rsid w:val="003D5C95"/>
    <w:rsid w:val="003D762F"/>
    <w:rsid w:val="003E0AF2"/>
    <w:rsid w:val="003E214C"/>
    <w:rsid w:val="003E25BA"/>
    <w:rsid w:val="003E2972"/>
    <w:rsid w:val="003E34C6"/>
    <w:rsid w:val="003E3D4E"/>
    <w:rsid w:val="003E5054"/>
    <w:rsid w:val="003E5278"/>
    <w:rsid w:val="003E63D9"/>
    <w:rsid w:val="003E7814"/>
    <w:rsid w:val="003E7A00"/>
    <w:rsid w:val="003F0B46"/>
    <w:rsid w:val="003F49F7"/>
    <w:rsid w:val="003F5246"/>
    <w:rsid w:val="003F56E3"/>
    <w:rsid w:val="003F6FDD"/>
    <w:rsid w:val="00402017"/>
    <w:rsid w:val="00406636"/>
    <w:rsid w:val="00412924"/>
    <w:rsid w:val="0041403E"/>
    <w:rsid w:val="00415D5C"/>
    <w:rsid w:val="0041698E"/>
    <w:rsid w:val="00424EBF"/>
    <w:rsid w:val="00430512"/>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15C8"/>
    <w:rsid w:val="004D23FB"/>
    <w:rsid w:val="004D2E25"/>
    <w:rsid w:val="004D3A0B"/>
    <w:rsid w:val="004D69AB"/>
    <w:rsid w:val="004D7C83"/>
    <w:rsid w:val="004E17D5"/>
    <w:rsid w:val="004E2119"/>
    <w:rsid w:val="004E4B1A"/>
    <w:rsid w:val="004E4DD9"/>
    <w:rsid w:val="004E5280"/>
    <w:rsid w:val="004F02B8"/>
    <w:rsid w:val="004F1109"/>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C6B0F"/>
    <w:rsid w:val="005D0468"/>
    <w:rsid w:val="005D1EFA"/>
    <w:rsid w:val="005D250E"/>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5E8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07EF"/>
    <w:rsid w:val="006F25BF"/>
    <w:rsid w:val="006F6887"/>
    <w:rsid w:val="006F696C"/>
    <w:rsid w:val="006F762C"/>
    <w:rsid w:val="00700BF1"/>
    <w:rsid w:val="00701D63"/>
    <w:rsid w:val="00702397"/>
    <w:rsid w:val="00704F2D"/>
    <w:rsid w:val="00706ECD"/>
    <w:rsid w:val="00707ED9"/>
    <w:rsid w:val="00707F74"/>
    <w:rsid w:val="0071091E"/>
    <w:rsid w:val="007115D2"/>
    <w:rsid w:val="00711DE3"/>
    <w:rsid w:val="00713E7A"/>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D74A5"/>
    <w:rsid w:val="008E2387"/>
    <w:rsid w:val="008E2673"/>
    <w:rsid w:val="008E457A"/>
    <w:rsid w:val="008E4B34"/>
    <w:rsid w:val="008E51E3"/>
    <w:rsid w:val="008E59B4"/>
    <w:rsid w:val="008E697D"/>
    <w:rsid w:val="008E763A"/>
    <w:rsid w:val="008F0D59"/>
    <w:rsid w:val="008F3617"/>
    <w:rsid w:val="008F3A6E"/>
    <w:rsid w:val="008F41ED"/>
    <w:rsid w:val="008F6CD1"/>
    <w:rsid w:val="008F736A"/>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0C"/>
    <w:rsid w:val="00963798"/>
    <w:rsid w:val="00964B3A"/>
    <w:rsid w:val="00966099"/>
    <w:rsid w:val="0097064A"/>
    <w:rsid w:val="00970B98"/>
    <w:rsid w:val="00974159"/>
    <w:rsid w:val="009748BB"/>
    <w:rsid w:val="00981489"/>
    <w:rsid w:val="009832D5"/>
    <w:rsid w:val="009838F8"/>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4F2B"/>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0557"/>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4E00"/>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A02"/>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4217"/>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95C12"/>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18F2"/>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link w:val="RecuodecorpodetextoChar"/>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675E82"/>
    <w:rPr>
      <w:color w:val="605E5C"/>
      <w:shd w:val="clear" w:color="auto" w:fill="E1DFDD"/>
    </w:rPr>
  </w:style>
  <w:style w:type="paragraph" w:styleId="Reviso">
    <w:name w:val="Revision"/>
    <w:hidden/>
    <w:uiPriority w:val="99"/>
    <w:semiHidden/>
    <w:rsid w:val="003F49F7"/>
    <w:rPr>
      <w:snapToGrid w:val="0"/>
    </w:rPr>
  </w:style>
  <w:style w:type="character" w:customStyle="1" w:styleId="RecuodecorpodetextoChar">
    <w:name w:val="Recuo de corpo de texto Char"/>
    <w:basedOn w:val="Fontepargpadro"/>
    <w:link w:val="Recuodecorpodetexto"/>
    <w:rsid w:val="008F736A"/>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6" ma:contentTypeDescription="Crie um novo documento." ma:contentTypeScope="" ma:versionID="7aae18000018c4988b8787cce335862b">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e32174ca5de93a677173914373c1b4b0"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customXml/itemProps2.xml><?xml version="1.0" encoding="utf-8"?>
<ds:datastoreItem xmlns:ds="http://schemas.openxmlformats.org/officeDocument/2006/customXml" ds:itemID="{497B907F-CF4C-49C1-A27E-B08B5590A8DC}">
  <ds:schemaRefs>
    <ds:schemaRef ds:uri="182dc7e9-28bc-489d-9529-1bfaf4a81191"/>
    <ds:schemaRef ds:uri="http://purl.org/dc/dcmitype/"/>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terms/"/>
    <ds:schemaRef ds:uri="http://schemas.openxmlformats.org/package/2006/metadata/core-properties"/>
    <ds:schemaRef ds:uri="e45eeb21-54bf-4d0a-b6ac-b3cefff7e859"/>
    <ds:schemaRef ds:uri="http://purl.org/dc/elements/1.1/"/>
  </ds:schemaRefs>
</ds:datastoreItem>
</file>

<file path=customXml/itemProps3.xml><?xml version="1.0" encoding="utf-8"?>
<ds:datastoreItem xmlns:ds="http://schemas.openxmlformats.org/officeDocument/2006/customXml" ds:itemID="{69733C9E-B184-4C20-91C9-8303ABA34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100360-FA12-4128-9FF0-AD2E65DB90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28</Pages>
  <Words>8344</Words>
  <Characters>46827</Characters>
  <Application>Microsoft Office Word</Application>
  <DocSecurity>2</DocSecurity>
  <Lines>390</Lines>
  <Paragraphs>110</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55061</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Claudia Yukari Asazu</cp:lastModifiedBy>
  <cp:revision>42</cp:revision>
  <cp:lastPrinted>2015-06-23T13:05:00Z</cp:lastPrinted>
  <dcterms:created xsi:type="dcterms:W3CDTF">2019-06-06T18:09:00Z</dcterms:created>
  <dcterms:modified xsi:type="dcterms:W3CDTF">2025-06-18T17:00:00Z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ies>
</file>